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FDC4F" w14:textId="77777777" w:rsidR="008E3C67" w:rsidRPr="00DA5BA0" w:rsidRDefault="00CF2BF2" w:rsidP="008F13DE">
      <w:pPr>
        <w:tabs>
          <w:tab w:val="left" w:pos="3945"/>
        </w:tabs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CÔNG TY: ……………………………………………</w:t>
      </w:r>
    </w:p>
    <w:p w14:paraId="77F39C9C" w14:textId="77777777" w:rsidR="008E3C67" w:rsidRPr="00DA5BA0" w:rsidRDefault="00CF2BF2" w:rsidP="008F13DE">
      <w:pPr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ĐỊA CHỈ: …………………………………………</w:t>
      </w:r>
      <w:proofErr w:type="gramStart"/>
      <w:r w:rsidRPr="00DA5BA0">
        <w:rPr>
          <w:b/>
          <w:bCs/>
          <w:sz w:val="26"/>
          <w:szCs w:val="26"/>
        </w:rPr>
        <w:t>…..</w:t>
      </w:r>
      <w:proofErr w:type="gramEnd"/>
    </w:p>
    <w:p w14:paraId="57CC0BAD" w14:textId="77777777" w:rsidR="008E3C67" w:rsidRPr="00DA5BA0" w:rsidRDefault="00CF2BF2" w:rsidP="008F13DE">
      <w:pPr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SỐ ĐIỆN THOẠI: …………………………………...</w:t>
      </w:r>
    </w:p>
    <w:p w14:paraId="49E8C131" w14:textId="77777777" w:rsidR="008E3C67" w:rsidRPr="00DA5BA0" w:rsidRDefault="00CF2BF2">
      <w:pPr>
        <w:spacing w:before="120" w:after="120"/>
        <w:jc w:val="center"/>
        <w:rPr>
          <w:b/>
          <w:bCs/>
          <w:sz w:val="32"/>
          <w:szCs w:val="32"/>
        </w:rPr>
      </w:pPr>
      <w:r w:rsidRPr="00DA5BA0">
        <w:rPr>
          <w:b/>
          <w:bCs/>
          <w:sz w:val="32"/>
          <w:szCs w:val="32"/>
        </w:rPr>
        <w:t>BẢNG BÁO GIÁ</w:t>
      </w:r>
    </w:p>
    <w:p w14:paraId="01484A5F" w14:textId="6DC35BDB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proofErr w:type="spellStart"/>
      <w:r w:rsidRPr="00DA5BA0">
        <w:rPr>
          <w:sz w:val="26"/>
          <w:szCs w:val="26"/>
        </w:rPr>
        <w:t>Kính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gửi</w:t>
      </w:r>
      <w:proofErr w:type="spellEnd"/>
      <w:r w:rsidRPr="00DA5BA0">
        <w:rPr>
          <w:sz w:val="26"/>
          <w:szCs w:val="26"/>
        </w:rPr>
        <w:t xml:space="preserve">: </w:t>
      </w:r>
      <w:proofErr w:type="spellStart"/>
      <w:r w:rsidRPr="00DA5BA0">
        <w:rPr>
          <w:sz w:val="26"/>
          <w:szCs w:val="26"/>
        </w:rPr>
        <w:t>Bệnh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viện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Đại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học</w:t>
      </w:r>
      <w:proofErr w:type="spellEnd"/>
      <w:r w:rsidRPr="00DA5BA0">
        <w:rPr>
          <w:sz w:val="26"/>
          <w:szCs w:val="26"/>
        </w:rPr>
        <w:t xml:space="preserve"> Y </w:t>
      </w:r>
      <w:proofErr w:type="spellStart"/>
      <w:r w:rsidRPr="00DA5BA0">
        <w:rPr>
          <w:sz w:val="26"/>
          <w:szCs w:val="26"/>
        </w:rPr>
        <w:t>Dược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Thành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phố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Hồ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Chí</w:t>
      </w:r>
      <w:proofErr w:type="spellEnd"/>
      <w:r w:rsidR="00A20FC1" w:rsidRPr="00DA5BA0">
        <w:rPr>
          <w:sz w:val="26"/>
          <w:szCs w:val="26"/>
        </w:rPr>
        <w:t xml:space="preserve"> Minh</w:t>
      </w:r>
    </w:p>
    <w:p w14:paraId="4D59E29F" w14:textId="399D2907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proofErr w:type="spellStart"/>
      <w:r w:rsidRPr="00DA5BA0">
        <w:rPr>
          <w:sz w:val="26"/>
          <w:szCs w:val="26"/>
        </w:rPr>
        <w:t>Địa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chỉ</w:t>
      </w:r>
      <w:proofErr w:type="spellEnd"/>
      <w:r w:rsidRPr="00DA5BA0">
        <w:rPr>
          <w:sz w:val="26"/>
          <w:szCs w:val="26"/>
        </w:rPr>
        <w:t xml:space="preserve">: 215 </w:t>
      </w:r>
      <w:proofErr w:type="spellStart"/>
      <w:r w:rsidRPr="00DA5BA0">
        <w:rPr>
          <w:sz w:val="26"/>
          <w:szCs w:val="26"/>
        </w:rPr>
        <w:t>Hồng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Bàng</w:t>
      </w:r>
      <w:proofErr w:type="spellEnd"/>
      <w:r w:rsidRPr="00DA5BA0">
        <w:rPr>
          <w:sz w:val="26"/>
          <w:szCs w:val="26"/>
        </w:rPr>
        <w:t xml:space="preserve">, </w:t>
      </w:r>
      <w:proofErr w:type="spellStart"/>
      <w:r w:rsidRPr="00DA5BA0">
        <w:rPr>
          <w:sz w:val="26"/>
          <w:szCs w:val="26"/>
        </w:rPr>
        <w:t>Phường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="0029299C">
        <w:rPr>
          <w:sz w:val="26"/>
          <w:szCs w:val="26"/>
        </w:rPr>
        <w:t>Chợ</w:t>
      </w:r>
      <w:proofErr w:type="spellEnd"/>
      <w:r w:rsidR="0029299C">
        <w:rPr>
          <w:sz w:val="26"/>
          <w:szCs w:val="26"/>
        </w:rPr>
        <w:t xml:space="preserve"> </w:t>
      </w:r>
      <w:proofErr w:type="spellStart"/>
      <w:r w:rsidR="0029299C">
        <w:rPr>
          <w:sz w:val="26"/>
          <w:szCs w:val="26"/>
        </w:rPr>
        <w:t>Lớn</w:t>
      </w:r>
      <w:proofErr w:type="spellEnd"/>
      <w:r w:rsidRPr="00DA5BA0">
        <w:rPr>
          <w:sz w:val="26"/>
          <w:szCs w:val="26"/>
        </w:rPr>
        <w:t xml:space="preserve">, </w:t>
      </w:r>
      <w:proofErr w:type="spellStart"/>
      <w:r w:rsidR="00A20FC1" w:rsidRPr="00DA5BA0">
        <w:rPr>
          <w:sz w:val="26"/>
          <w:szCs w:val="26"/>
        </w:rPr>
        <w:t>Thành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phố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Hồ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Chí</w:t>
      </w:r>
      <w:proofErr w:type="spellEnd"/>
      <w:r w:rsidR="00A20FC1" w:rsidRPr="00DA5BA0">
        <w:rPr>
          <w:sz w:val="26"/>
          <w:szCs w:val="26"/>
        </w:rPr>
        <w:t xml:space="preserve"> Minh</w:t>
      </w:r>
    </w:p>
    <w:p w14:paraId="0C57CBE0" w14:textId="2805C5D3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Theo </w:t>
      </w:r>
      <w:proofErr w:type="spellStart"/>
      <w:r w:rsidRPr="00DA5BA0">
        <w:rPr>
          <w:sz w:val="26"/>
          <w:szCs w:val="26"/>
        </w:rPr>
        <w:t>công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văn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mời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chào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số</w:t>
      </w:r>
      <w:proofErr w:type="spellEnd"/>
      <w:r w:rsidRPr="00DA5BA0">
        <w:rPr>
          <w:sz w:val="26"/>
          <w:szCs w:val="26"/>
        </w:rPr>
        <w:t xml:space="preserve"> …</w:t>
      </w:r>
      <w:proofErr w:type="gramStart"/>
      <w:r w:rsidRPr="00DA5BA0">
        <w:rPr>
          <w:sz w:val="26"/>
          <w:szCs w:val="26"/>
        </w:rPr>
        <w:t>…..</w:t>
      </w:r>
      <w:proofErr w:type="gramEnd"/>
      <w:r w:rsidRPr="00DA5BA0">
        <w:rPr>
          <w:sz w:val="26"/>
          <w:szCs w:val="26"/>
        </w:rPr>
        <w:t>/BVĐHYD-</w:t>
      </w:r>
      <w:r w:rsidR="003A2FED" w:rsidRPr="00DA5BA0">
        <w:rPr>
          <w:sz w:val="26"/>
          <w:szCs w:val="26"/>
        </w:rPr>
        <w:t>QTTN</w:t>
      </w:r>
      <w:r w:rsidR="007B0443" w:rsidRPr="00DA5BA0">
        <w:rPr>
          <w:sz w:val="26"/>
          <w:szCs w:val="26"/>
        </w:rPr>
        <w:t xml:space="preserve"> </w:t>
      </w:r>
      <w:proofErr w:type="spellStart"/>
      <w:r w:rsidR="007B0443" w:rsidRPr="00DA5BA0">
        <w:rPr>
          <w:sz w:val="26"/>
          <w:szCs w:val="26"/>
        </w:rPr>
        <w:t>ngày</w:t>
      </w:r>
      <w:proofErr w:type="spellEnd"/>
      <w:r w:rsidR="007B0443" w:rsidRPr="00DA5BA0">
        <w:rPr>
          <w:sz w:val="26"/>
          <w:szCs w:val="26"/>
        </w:rPr>
        <w:t xml:space="preserve"> ...../…../202</w:t>
      </w:r>
      <w:r w:rsidR="00AF70C4">
        <w:rPr>
          <w:sz w:val="26"/>
          <w:szCs w:val="26"/>
        </w:rPr>
        <w:t>5</w:t>
      </w:r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của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Bệnh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viện</w:t>
      </w:r>
      <w:proofErr w:type="spellEnd"/>
      <w:r w:rsidRPr="00DA5BA0">
        <w:rPr>
          <w:sz w:val="26"/>
          <w:szCs w:val="26"/>
        </w:rPr>
        <w:t xml:space="preserve">, </w:t>
      </w:r>
      <w:proofErr w:type="spellStart"/>
      <w:r w:rsidRPr="00DA5BA0">
        <w:rPr>
          <w:sz w:val="26"/>
          <w:szCs w:val="26"/>
        </w:rPr>
        <w:t>Công</w:t>
      </w:r>
      <w:proofErr w:type="spellEnd"/>
      <w:r w:rsidRPr="00DA5BA0">
        <w:rPr>
          <w:sz w:val="26"/>
          <w:szCs w:val="26"/>
        </w:rPr>
        <w:t xml:space="preserve"> ty </w:t>
      </w:r>
      <w:proofErr w:type="spellStart"/>
      <w:r w:rsidRPr="00DA5BA0">
        <w:rPr>
          <w:sz w:val="26"/>
          <w:szCs w:val="26"/>
        </w:rPr>
        <w:t>chúng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tôi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báo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như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sau</w:t>
      </w:r>
      <w:proofErr w:type="spellEnd"/>
      <w:r w:rsidRPr="00DA5BA0">
        <w:rPr>
          <w:sz w:val="26"/>
          <w:szCs w:val="26"/>
        </w:rPr>
        <w:t>: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7"/>
        <w:gridCol w:w="851"/>
        <w:gridCol w:w="5539"/>
        <w:gridCol w:w="830"/>
        <w:gridCol w:w="725"/>
        <w:gridCol w:w="751"/>
        <w:gridCol w:w="984"/>
        <w:gridCol w:w="635"/>
        <w:gridCol w:w="748"/>
        <w:gridCol w:w="1080"/>
        <w:gridCol w:w="1552"/>
        <w:gridCol w:w="489"/>
      </w:tblGrid>
      <w:tr w:rsidR="002572F9" w:rsidRPr="00DA5BA0" w14:paraId="33BC7B44" w14:textId="77777777" w:rsidTr="0029299C">
        <w:trPr>
          <w:tblHeader/>
        </w:trPr>
        <w:tc>
          <w:tcPr>
            <w:tcW w:w="129" w:type="pct"/>
            <w:vAlign w:val="center"/>
          </w:tcPr>
          <w:p w14:paraId="1EA3BA04" w14:textId="33DB8BBD" w:rsidR="007B0443" w:rsidRPr="00DA5BA0" w:rsidRDefault="008255F0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292" w:type="pct"/>
            <w:vAlign w:val="center"/>
          </w:tcPr>
          <w:p w14:paraId="0A23E544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hàng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1902" w:type="pct"/>
            <w:vAlign w:val="center"/>
          </w:tcPr>
          <w:p w14:paraId="1E1F0735" w14:textId="77777777" w:rsidR="007B0443" w:rsidRPr="00DA5BA0" w:rsidRDefault="007B0443" w:rsidP="008F13DE">
            <w:pPr>
              <w:spacing w:before="60" w:after="60"/>
              <w:ind w:left="57" w:right="57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cầu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kỹ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285" w:type="pct"/>
            <w:vAlign w:val="center"/>
          </w:tcPr>
          <w:p w14:paraId="4AC8505D" w14:textId="26AD5AA8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 xml:space="preserve">Model,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mã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249" w:type="pct"/>
            <w:vAlign w:val="center"/>
          </w:tcPr>
          <w:p w14:paraId="27643F81" w14:textId="4E8476A4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Nhà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sản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258" w:type="pct"/>
            <w:vAlign w:val="center"/>
          </w:tcPr>
          <w:p w14:paraId="4BE4FF62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Nước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sản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338" w:type="pct"/>
            <w:vAlign w:val="center"/>
          </w:tcPr>
          <w:p w14:paraId="2B2627AF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Quy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cách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đóng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gói</w:t>
            </w:r>
            <w:proofErr w:type="spellEnd"/>
          </w:p>
        </w:tc>
        <w:tc>
          <w:tcPr>
            <w:tcW w:w="218" w:type="pct"/>
            <w:vAlign w:val="center"/>
          </w:tcPr>
          <w:p w14:paraId="71CD34E5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257" w:type="pct"/>
            <w:vAlign w:val="center"/>
          </w:tcPr>
          <w:p w14:paraId="68732A9A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371" w:type="pct"/>
            <w:vAlign w:val="center"/>
          </w:tcPr>
          <w:p w14:paraId="25364810" w14:textId="4EA4026B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sz w:val="26"/>
                <w:szCs w:val="26"/>
              </w:rPr>
              <w:t>Đơn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sz w:val="26"/>
                <w:szCs w:val="26"/>
              </w:rPr>
              <w:t>giá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DA5BA0">
              <w:rPr>
                <w:b/>
                <w:sz w:val="26"/>
                <w:szCs w:val="26"/>
              </w:rPr>
              <w:t>có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VAT) (VND)</w:t>
            </w:r>
          </w:p>
        </w:tc>
        <w:tc>
          <w:tcPr>
            <w:tcW w:w="533" w:type="pct"/>
            <w:vAlign w:val="center"/>
          </w:tcPr>
          <w:p w14:paraId="1D8CDDC7" w14:textId="04FD9286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sz w:val="26"/>
                <w:szCs w:val="26"/>
              </w:rPr>
              <w:t>Thành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sz w:val="26"/>
                <w:szCs w:val="26"/>
              </w:rPr>
              <w:t>tiền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sz w:val="26"/>
                <w:szCs w:val="26"/>
              </w:rPr>
              <w:t>có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VAT (VND)</w:t>
            </w:r>
          </w:p>
        </w:tc>
        <w:tc>
          <w:tcPr>
            <w:tcW w:w="168" w:type="pct"/>
            <w:vAlign w:val="center"/>
          </w:tcPr>
          <w:p w14:paraId="2E7759CB" w14:textId="2CADAB2E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29299C" w:rsidRPr="00DA5BA0" w14:paraId="722294B6" w14:textId="77777777" w:rsidTr="0029299C">
        <w:tc>
          <w:tcPr>
            <w:tcW w:w="129" w:type="pct"/>
            <w:vAlign w:val="center"/>
          </w:tcPr>
          <w:p w14:paraId="471B3914" w14:textId="3CD04223" w:rsidR="0029299C" w:rsidRPr="00DA5BA0" w:rsidRDefault="0029299C" w:rsidP="0029299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2" w:type="pct"/>
            <w:vAlign w:val="center"/>
          </w:tcPr>
          <w:p w14:paraId="7A698110" w14:textId="17CD6A6A" w:rsidR="0029299C" w:rsidRPr="00DA5BA0" w:rsidRDefault="0029299C" w:rsidP="0029299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04B1C">
              <w:rPr>
                <w:iCs/>
                <w:sz w:val="26"/>
                <w:szCs w:val="26"/>
                <w:lang w:val="pl-PL"/>
              </w:rPr>
              <w:t>Rèm che y tế</w:t>
            </w:r>
          </w:p>
        </w:tc>
        <w:tc>
          <w:tcPr>
            <w:tcW w:w="1902" w:type="pct"/>
            <w:vAlign w:val="center"/>
          </w:tcPr>
          <w:p w14:paraId="0DE62A38" w14:textId="77777777" w:rsidR="0029299C" w:rsidRDefault="0029299C" w:rsidP="00041180">
            <w:pPr>
              <w:spacing w:before="80" w:after="80" w:line="264" w:lineRule="auto"/>
              <w:ind w:left="17" w:right="87"/>
              <w:jc w:val="both"/>
              <w:rPr>
                <w:sz w:val="26"/>
                <w:szCs w:val="26"/>
              </w:rPr>
            </w:pPr>
            <w:r w:rsidRPr="00102D13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vải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51EE5DDD" w14:textId="77777777" w:rsidR="0029299C" w:rsidRDefault="0029299C" w:rsidP="00041180">
            <w:pPr>
              <w:spacing w:before="80" w:after="80" w:line="264" w:lineRule="auto"/>
              <w:ind w:left="17" w:right="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</w:t>
            </w:r>
            <w:proofErr w:type="spellStart"/>
            <w:r>
              <w:rPr>
                <w:sz w:val="26"/>
                <w:szCs w:val="26"/>
              </w:rPr>
              <w:t>Lưới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rèm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sợi</w:t>
            </w:r>
            <w:proofErr w:type="spellEnd"/>
            <w:r>
              <w:rPr>
                <w:sz w:val="26"/>
                <w:szCs w:val="26"/>
              </w:rPr>
              <w:t xml:space="preserve"> polyester </w:t>
            </w:r>
            <w:proofErr w:type="spellStart"/>
            <w:r>
              <w:rPr>
                <w:sz w:val="26"/>
                <w:szCs w:val="26"/>
              </w:rPr>
              <w:t>dệt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cứng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bằng</w:t>
            </w:r>
            <w:proofErr w:type="spellEnd"/>
            <w:r>
              <w:rPr>
                <w:sz w:val="26"/>
                <w:szCs w:val="26"/>
              </w:rPr>
              <w:t xml:space="preserve"> 40 cm, </w:t>
            </w:r>
            <w:proofErr w:type="spellStart"/>
            <w:r>
              <w:rPr>
                <w:sz w:val="26"/>
                <w:szCs w:val="26"/>
              </w:rPr>
              <w:t>chạy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màn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khoen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màn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4093D7FA" w14:textId="77777777" w:rsidR="0029299C" w:rsidRDefault="0029299C" w:rsidP="00041180">
            <w:pPr>
              <w:spacing w:before="80" w:after="80" w:line="264" w:lineRule="auto"/>
              <w:ind w:left="17" w:right="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</w:t>
            </w:r>
            <w:proofErr w:type="spellStart"/>
            <w:r>
              <w:rPr>
                <w:sz w:val="26"/>
                <w:szCs w:val="26"/>
              </w:rPr>
              <w:t>Màn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bằng</w:t>
            </w:r>
            <w:proofErr w:type="spellEnd"/>
            <w:r>
              <w:rPr>
                <w:sz w:val="26"/>
                <w:szCs w:val="26"/>
              </w:rPr>
              <w:t xml:space="preserve"> 100% polyester</w:t>
            </w:r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kháng</w:t>
            </w:r>
            <w:proofErr w:type="spellEnd"/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khuẩn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 w:rsidRPr="00102D13">
              <w:rPr>
                <w:sz w:val="26"/>
                <w:szCs w:val="26"/>
              </w:rPr>
              <w:t>chống</w:t>
            </w:r>
            <w:proofErr w:type="spellEnd"/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cháy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2D172DB" w14:textId="77777777" w:rsidR="0029299C" w:rsidRDefault="0029299C" w:rsidP="00041180">
            <w:pPr>
              <w:spacing w:before="80" w:after="80" w:line="264" w:lineRule="auto"/>
              <w:ind w:left="17" w:right="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dáng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quy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may:</w:t>
            </w:r>
          </w:p>
          <w:p w14:paraId="382FF7A7" w14:textId="77777777" w:rsidR="0029299C" w:rsidRDefault="0029299C" w:rsidP="00041180">
            <w:pPr>
              <w:spacing w:before="80" w:after="80" w:line="264" w:lineRule="auto"/>
              <w:ind w:left="17" w:right="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</w:t>
            </w:r>
            <w:proofErr w:type="spellStart"/>
            <w:r>
              <w:rPr>
                <w:sz w:val="26"/>
                <w:szCs w:val="26"/>
              </w:rPr>
              <w:t>Mật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 w:rsidRPr="001D02F3">
              <w:rPr>
                <w:sz w:val="26"/>
                <w:szCs w:val="26"/>
              </w:rPr>
              <w:t xml:space="preserve">: 4-5 </w:t>
            </w:r>
            <w:proofErr w:type="spellStart"/>
            <w:r>
              <w:rPr>
                <w:sz w:val="26"/>
                <w:szCs w:val="26"/>
              </w:rPr>
              <w:t>mũi</w:t>
            </w:r>
            <w:proofErr w:type="spellEnd"/>
            <w:r>
              <w:rPr>
                <w:sz w:val="26"/>
                <w:szCs w:val="26"/>
              </w:rPr>
              <w:t xml:space="preserve">/cm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may;</w:t>
            </w:r>
          </w:p>
          <w:p w14:paraId="233C8F13" w14:textId="77777777" w:rsidR="0029299C" w:rsidRDefault="0029299C" w:rsidP="00041180">
            <w:pPr>
              <w:spacing w:before="80" w:after="80" w:line="264" w:lineRule="auto"/>
              <w:ind w:left="17" w:right="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1D02F3">
              <w:rPr>
                <w:sz w:val="26"/>
                <w:szCs w:val="26"/>
              </w:rPr>
              <w:t>ác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đường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chỉ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diễu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liền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mạch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không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ghép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nối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giữa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chừng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6549885E" w14:textId="77777777" w:rsidR="0029299C" w:rsidRDefault="0029299C" w:rsidP="00041180">
            <w:pPr>
              <w:spacing w:before="80" w:after="80" w:line="264" w:lineRule="auto"/>
              <w:ind w:left="17" w:right="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+ </w:t>
            </w:r>
            <w:proofErr w:type="spellStart"/>
            <w:r w:rsidRPr="001D02F3">
              <w:rPr>
                <w:sz w:val="26"/>
                <w:szCs w:val="26"/>
              </w:rPr>
              <w:t>Lại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mũi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kỹ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các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đường</w:t>
            </w:r>
            <w:proofErr w:type="spellEnd"/>
            <w:r w:rsidRPr="001D02F3">
              <w:rPr>
                <w:sz w:val="26"/>
                <w:szCs w:val="26"/>
              </w:rPr>
              <w:t xml:space="preserve"> may 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1D02F3">
              <w:rPr>
                <w:sz w:val="26"/>
                <w:szCs w:val="26"/>
              </w:rPr>
              <w:t>ại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điểm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bắt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đầ</w:t>
            </w:r>
            <w:r>
              <w:rPr>
                <w:sz w:val="26"/>
                <w:szCs w:val="26"/>
              </w:rPr>
              <w:t>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may;</w:t>
            </w:r>
          </w:p>
          <w:p w14:paraId="51016E64" w14:textId="77777777" w:rsidR="0029299C" w:rsidRDefault="0029299C" w:rsidP="00041180">
            <w:pPr>
              <w:spacing w:before="80" w:after="80" w:line="264" w:lineRule="auto"/>
              <w:ind w:left="17" w:right="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</w:t>
            </w:r>
            <w:proofErr w:type="spellStart"/>
            <w:r w:rsidRPr="001D02F3">
              <w:rPr>
                <w:sz w:val="26"/>
                <w:szCs w:val="26"/>
              </w:rPr>
              <w:t>Mép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màn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che</w:t>
            </w:r>
            <w:proofErr w:type="spellEnd"/>
            <w:r>
              <w:rPr>
                <w:sz w:val="26"/>
                <w:szCs w:val="26"/>
              </w:rPr>
              <w:t>:</w:t>
            </w:r>
            <w:r w:rsidRPr="001D02F3">
              <w:rPr>
                <w:sz w:val="26"/>
                <w:szCs w:val="26"/>
              </w:rPr>
              <w:t xml:space="preserve"> may </w:t>
            </w:r>
            <w:proofErr w:type="spellStart"/>
            <w:r w:rsidRPr="001D02F3">
              <w:rPr>
                <w:sz w:val="26"/>
                <w:szCs w:val="26"/>
              </w:rPr>
              <w:t>viền</w:t>
            </w:r>
            <w:proofErr w:type="spellEnd"/>
            <w:r w:rsidRPr="001D02F3">
              <w:rPr>
                <w:sz w:val="26"/>
                <w:szCs w:val="26"/>
              </w:rPr>
              <w:t xml:space="preserve"> 4</w:t>
            </w:r>
            <w:r>
              <w:rPr>
                <w:sz w:val="26"/>
                <w:szCs w:val="26"/>
              </w:rPr>
              <w:t xml:space="preserve"> </w:t>
            </w:r>
            <w:r w:rsidRPr="001D02F3">
              <w:rPr>
                <w:sz w:val="26"/>
                <w:szCs w:val="26"/>
              </w:rPr>
              <w:t>cm (</w:t>
            </w:r>
            <w:proofErr w:type="spellStart"/>
            <w:r w:rsidRPr="001D02F3">
              <w:rPr>
                <w:sz w:val="26"/>
                <w:szCs w:val="26"/>
              </w:rPr>
              <w:t>hai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bên</w:t>
            </w:r>
            <w:proofErr w:type="spellEnd"/>
            <w:r w:rsidRPr="001D02F3">
              <w:rPr>
                <w:sz w:val="26"/>
                <w:szCs w:val="26"/>
              </w:rPr>
              <w:t>), 9</w:t>
            </w:r>
            <w:r>
              <w:rPr>
                <w:sz w:val="26"/>
                <w:szCs w:val="26"/>
              </w:rPr>
              <w:t xml:space="preserve"> </w:t>
            </w:r>
            <w:r w:rsidRPr="001D02F3">
              <w:rPr>
                <w:sz w:val="26"/>
                <w:szCs w:val="26"/>
              </w:rPr>
              <w:t>cm (</w:t>
            </w:r>
            <w:proofErr w:type="spellStart"/>
            <w:r w:rsidRPr="001D02F3">
              <w:rPr>
                <w:sz w:val="26"/>
                <w:szCs w:val="26"/>
              </w:rPr>
              <w:t>dưới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che</w:t>
            </w:r>
            <w:proofErr w:type="spellEnd"/>
            <w:r>
              <w:rPr>
                <w:sz w:val="26"/>
                <w:szCs w:val="26"/>
              </w:rPr>
              <w:t xml:space="preserve">), </w:t>
            </w:r>
            <w:proofErr w:type="spellStart"/>
            <w:r>
              <w:rPr>
                <w:sz w:val="26"/>
                <w:szCs w:val="26"/>
              </w:rPr>
              <w:t>chừa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hơn</w:t>
            </w:r>
            <w:proofErr w:type="spellEnd"/>
            <w:r>
              <w:rPr>
                <w:sz w:val="26"/>
                <w:szCs w:val="26"/>
              </w:rPr>
              <w:t xml:space="preserve"> 1,</w:t>
            </w:r>
            <w:r w:rsidRPr="001D02F3">
              <w:rPr>
                <w:sz w:val="26"/>
                <w:szCs w:val="26"/>
              </w:rPr>
              <w:t xml:space="preserve">5 </w:t>
            </w:r>
            <w:proofErr w:type="spellStart"/>
            <w:r w:rsidRPr="001D02F3">
              <w:rPr>
                <w:sz w:val="26"/>
                <w:szCs w:val="26"/>
              </w:rPr>
              <w:t>lần</w:t>
            </w:r>
            <w:proofErr w:type="spellEnd"/>
            <w:r w:rsidRPr="001D02F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màu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chỉ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trùng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màu</w:t>
            </w:r>
            <w:proofErr w:type="spellEnd"/>
            <w:r w:rsidRPr="001D02F3">
              <w:rPr>
                <w:sz w:val="26"/>
                <w:szCs w:val="26"/>
              </w:rPr>
              <w:t xml:space="preserve"> </w:t>
            </w:r>
            <w:proofErr w:type="spellStart"/>
            <w:r w:rsidRPr="001D02F3">
              <w:rPr>
                <w:sz w:val="26"/>
                <w:szCs w:val="26"/>
              </w:rPr>
              <w:t>vải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3EF4CFEA" w14:textId="77777777" w:rsidR="0029299C" w:rsidRPr="00102D13" w:rsidRDefault="0029299C" w:rsidP="00041180">
            <w:pPr>
              <w:spacing w:before="80" w:after="80" w:line="264" w:lineRule="auto"/>
              <w:ind w:left="17" w:right="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</w:t>
            </w: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rèm</w:t>
            </w:r>
            <w:proofErr w:type="spellEnd"/>
            <w:r>
              <w:rPr>
                <w:sz w:val="26"/>
                <w:szCs w:val="26"/>
              </w:rPr>
              <w:t>: 1,85 m (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gồm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rèm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14:paraId="50D918D3" w14:textId="77777777" w:rsidR="0029299C" w:rsidRPr="00102D13" w:rsidRDefault="0029299C" w:rsidP="00041180">
            <w:pPr>
              <w:spacing w:before="80" w:after="80" w:line="264" w:lineRule="auto"/>
              <w:ind w:left="17" w:right="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Màu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sắc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màu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nhạt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vàng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kem</w:t>
            </w:r>
            <w:proofErr w:type="spellEnd"/>
            <w:r>
              <w:rPr>
                <w:sz w:val="26"/>
                <w:szCs w:val="26"/>
              </w:rPr>
              <w:t>);</w:t>
            </w:r>
          </w:p>
          <w:p w14:paraId="3C8949FC" w14:textId="339A482B" w:rsidR="0029299C" w:rsidRPr="0029299C" w:rsidRDefault="0029299C" w:rsidP="00041180">
            <w:pPr>
              <w:tabs>
                <w:tab w:val="left" w:pos="597"/>
              </w:tabs>
              <w:spacing w:before="60" w:after="60"/>
              <w:ind w:left="17" w:right="87"/>
              <w:jc w:val="both"/>
              <w:rPr>
                <w:sz w:val="26"/>
                <w:szCs w:val="26"/>
              </w:rPr>
            </w:pPr>
            <w:r w:rsidRPr="00102D13">
              <w:rPr>
                <w:sz w:val="26"/>
                <w:szCs w:val="26"/>
              </w:rPr>
              <w:t xml:space="preserve">- Chi </w:t>
            </w:r>
            <w:proofErr w:type="spellStart"/>
            <w:r w:rsidRPr="00102D13">
              <w:rPr>
                <w:sz w:val="26"/>
                <w:szCs w:val="26"/>
              </w:rPr>
              <w:t>tiết</w:t>
            </w:r>
            <w:proofErr w:type="spellEnd"/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rèm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kèm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85" w:type="pct"/>
            <w:vAlign w:val="center"/>
          </w:tcPr>
          <w:p w14:paraId="24898B69" w14:textId="03B699A2" w:rsidR="0029299C" w:rsidRPr="00DA5BA0" w:rsidRDefault="0029299C" w:rsidP="0029299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9" w:type="pct"/>
            <w:vAlign w:val="center"/>
          </w:tcPr>
          <w:p w14:paraId="79E81618" w14:textId="4DDFFA13" w:rsidR="0029299C" w:rsidRPr="00DA5BA0" w:rsidRDefault="0029299C" w:rsidP="0029299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57A496D8" w14:textId="77777777" w:rsidR="0029299C" w:rsidRPr="00DA5BA0" w:rsidRDefault="0029299C" w:rsidP="0029299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8" w:type="pct"/>
            <w:vAlign w:val="center"/>
          </w:tcPr>
          <w:p w14:paraId="603BCDAF" w14:textId="77777777" w:rsidR="0029299C" w:rsidRPr="00DA5BA0" w:rsidRDefault="0029299C" w:rsidP="0029299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8" w:type="pct"/>
            <w:vAlign w:val="center"/>
          </w:tcPr>
          <w:p w14:paraId="714E9E05" w14:textId="16A0D2EA" w:rsidR="0029299C" w:rsidRPr="00DA5BA0" w:rsidRDefault="0029299C" w:rsidP="0029299C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854FEC">
              <w:rPr>
                <w:bCs/>
                <w:sz w:val="26"/>
                <w:szCs w:val="26"/>
              </w:rPr>
              <w:t>m</w:t>
            </w:r>
          </w:p>
        </w:tc>
        <w:tc>
          <w:tcPr>
            <w:tcW w:w="257" w:type="pct"/>
            <w:vAlign w:val="center"/>
          </w:tcPr>
          <w:p w14:paraId="701111C9" w14:textId="32C820EB" w:rsidR="0029299C" w:rsidRPr="00DA5BA0" w:rsidRDefault="0029299C" w:rsidP="0029299C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998</w:t>
            </w:r>
          </w:p>
        </w:tc>
        <w:tc>
          <w:tcPr>
            <w:tcW w:w="371" w:type="pct"/>
            <w:vAlign w:val="center"/>
          </w:tcPr>
          <w:p w14:paraId="59E4427B" w14:textId="6E9B5006" w:rsidR="0029299C" w:rsidRPr="002572F9" w:rsidRDefault="0029299C" w:rsidP="0029299C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14:paraId="317B6FEB" w14:textId="589F3404" w:rsidR="0029299C" w:rsidRPr="002572F9" w:rsidRDefault="0029299C" w:rsidP="0029299C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8" w:type="pct"/>
            <w:vAlign w:val="center"/>
          </w:tcPr>
          <w:p w14:paraId="24D74945" w14:textId="381FA7F7" w:rsidR="0029299C" w:rsidRPr="00DA5BA0" w:rsidRDefault="0029299C" w:rsidP="0029299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9299C" w:rsidRPr="00DA5BA0" w14:paraId="57C77170" w14:textId="77777777" w:rsidTr="0029299C">
        <w:tc>
          <w:tcPr>
            <w:tcW w:w="129" w:type="pct"/>
            <w:vAlign w:val="center"/>
          </w:tcPr>
          <w:p w14:paraId="49EE5A8D" w14:textId="1957C077" w:rsidR="0029299C" w:rsidRDefault="0029299C" w:rsidP="0029299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92" w:type="pct"/>
            <w:vAlign w:val="center"/>
          </w:tcPr>
          <w:p w14:paraId="5814BE12" w14:textId="3E7822C6" w:rsidR="0029299C" w:rsidRPr="00DA5BA0" w:rsidRDefault="0029299C" w:rsidP="0029299C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ray </w:t>
            </w:r>
            <w:proofErr w:type="spellStart"/>
            <w:r>
              <w:rPr>
                <w:sz w:val="26"/>
                <w:szCs w:val="26"/>
              </w:rPr>
              <w:t>treo</w:t>
            </w:r>
            <w:proofErr w:type="spellEnd"/>
          </w:p>
        </w:tc>
        <w:tc>
          <w:tcPr>
            <w:tcW w:w="1902" w:type="pct"/>
            <w:vAlign w:val="center"/>
          </w:tcPr>
          <w:p w14:paraId="40CF7A94" w14:textId="77777777" w:rsidR="0029299C" w:rsidRDefault="0029299C" w:rsidP="00041180">
            <w:pPr>
              <w:spacing w:before="80" w:after="80" w:line="264" w:lineRule="auto"/>
              <w:ind w:left="17" w:right="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ray </w:t>
            </w:r>
            <w:proofErr w:type="spellStart"/>
            <w:r>
              <w:rPr>
                <w:sz w:val="26"/>
                <w:szCs w:val="26"/>
              </w:rPr>
              <w:t>treo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729E5B40" w14:textId="77777777" w:rsidR="0029299C" w:rsidRDefault="0029299C" w:rsidP="00041180">
            <w:pPr>
              <w:spacing w:before="80" w:after="80" w:line="264" w:lineRule="auto"/>
              <w:ind w:left="17" w:right="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</w:t>
            </w:r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ray </w:t>
            </w:r>
            <w:proofErr w:type="spellStart"/>
            <w:r>
              <w:rPr>
                <w:sz w:val="26"/>
                <w:szCs w:val="26"/>
              </w:rPr>
              <w:t>treo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nhôm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rèm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401F9E23" w14:textId="77777777" w:rsidR="0029299C" w:rsidRDefault="0029299C" w:rsidP="00041180">
            <w:pPr>
              <w:spacing w:before="80" w:after="80" w:line="264" w:lineRule="auto"/>
              <w:ind w:left="17" w:right="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ray </w:t>
            </w:r>
            <w:proofErr w:type="spellStart"/>
            <w:r>
              <w:rPr>
                <w:sz w:val="26"/>
                <w:szCs w:val="26"/>
              </w:rPr>
              <w:t>nhôm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chốt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chặn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1802702C" w14:textId="77777777" w:rsidR="0029299C" w:rsidRDefault="0029299C" w:rsidP="00041180">
            <w:pPr>
              <w:spacing w:before="80" w:after="80" w:line="264" w:lineRule="auto"/>
              <w:ind w:left="17" w:right="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Ty </w:t>
            </w:r>
            <w:proofErr w:type="spellStart"/>
            <w:r>
              <w:rPr>
                <w:sz w:val="26"/>
                <w:szCs w:val="26"/>
              </w:rPr>
              <w:t>treo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lắp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bê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ray </w:t>
            </w:r>
            <w:proofErr w:type="spellStart"/>
            <w:r>
              <w:rPr>
                <w:sz w:val="26"/>
                <w:szCs w:val="26"/>
              </w:rPr>
              <w:t>nhôm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nắp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khoảng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ty </w:t>
            </w:r>
            <w:proofErr w:type="spellStart"/>
            <w:r>
              <w:rPr>
                <w:sz w:val="26"/>
                <w:szCs w:val="26"/>
              </w:rPr>
              <w:t>treo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</w:t>
            </w:r>
            <w:proofErr w:type="spellEnd"/>
            <w:r>
              <w:rPr>
                <w:sz w:val="26"/>
                <w:szCs w:val="26"/>
              </w:rPr>
              <w:t xml:space="preserve"> 1,5 m;</w:t>
            </w:r>
          </w:p>
          <w:p w14:paraId="3095F817" w14:textId="77777777" w:rsidR="0029299C" w:rsidRDefault="0029299C" w:rsidP="00041180">
            <w:pPr>
              <w:spacing w:before="80" w:after="80" w:line="264" w:lineRule="auto"/>
              <w:ind w:left="17" w:right="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4545A1">
              <w:rPr>
                <w:sz w:val="26"/>
                <w:szCs w:val="26"/>
              </w:rPr>
              <w:t>+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Móc</w:t>
            </w:r>
            <w:proofErr w:type="spellEnd"/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treo</w:t>
            </w:r>
            <w:proofErr w:type="spellEnd"/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rèm</w:t>
            </w:r>
            <w:proofErr w:type="spellEnd"/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là</w:t>
            </w:r>
            <w:proofErr w:type="spellEnd"/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những</w:t>
            </w:r>
            <w:proofErr w:type="spellEnd"/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móc</w:t>
            </w:r>
            <w:proofErr w:type="spellEnd"/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nhựa</w:t>
            </w:r>
            <w:proofErr w:type="spellEnd"/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có</w:t>
            </w:r>
            <w:proofErr w:type="spellEnd"/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hình</w:t>
            </w:r>
            <w:proofErr w:type="spellEnd"/>
            <w:r w:rsidRPr="00102D13">
              <w:rPr>
                <w:sz w:val="26"/>
                <w:szCs w:val="26"/>
              </w:rPr>
              <w:t xml:space="preserve"> </w:t>
            </w:r>
            <w:proofErr w:type="spellStart"/>
            <w:r w:rsidRPr="00102D13">
              <w:rPr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ưỡi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gắn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bánh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trượt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2ECC9321" w14:textId="045B555D" w:rsidR="0029299C" w:rsidRPr="0029299C" w:rsidRDefault="0029299C" w:rsidP="00041180">
            <w:pPr>
              <w:tabs>
                <w:tab w:val="left" w:pos="597"/>
              </w:tabs>
              <w:spacing w:before="60" w:after="60"/>
              <w:ind w:left="17" w:right="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Chi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ray </w:t>
            </w:r>
            <w:proofErr w:type="spellStart"/>
            <w:r>
              <w:rPr>
                <w:sz w:val="26"/>
                <w:szCs w:val="26"/>
              </w:rPr>
              <w:t>treo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kèm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85" w:type="pct"/>
            <w:vAlign w:val="center"/>
          </w:tcPr>
          <w:p w14:paraId="7935239D" w14:textId="77777777" w:rsidR="0029299C" w:rsidRPr="00DA5BA0" w:rsidRDefault="0029299C" w:rsidP="0029299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9" w:type="pct"/>
            <w:vAlign w:val="center"/>
          </w:tcPr>
          <w:p w14:paraId="06A43AF2" w14:textId="77777777" w:rsidR="0029299C" w:rsidRPr="00DA5BA0" w:rsidRDefault="0029299C" w:rsidP="0029299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65760198" w14:textId="77777777" w:rsidR="0029299C" w:rsidRPr="00DA5BA0" w:rsidRDefault="0029299C" w:rsidP="0029299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8" w:type="pct"/>
            <w:vAlign w:val="center"/>
          </w:tcPr>
          <w:p w14:paraId="7B282072" w14:textId="77777777" w:rsidR="0029299C" w:rsidRPr="00DA5BA0" w:rsidRDefault="0029299C" w:rsidP="0029299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8" w:type="pct"/>
            <w:vAlign w:val="center"/>
          </w:tcPr>
          <w:p w14:paraId="4D71BBC3" w14:textId="42A39CE8" w:rsidR="0029299C" w:rsidRPr="00DA5BA0" w:rsidRDefault="0029299C" w:rsidP="0029299C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m</w:t>
            </w:r>
          </w:p>
        </w:tc>
        <w:tc>
          <w:tcPr>
            <w:tcW w:w="257" w:type="pct"/>
            <w:vAlign w:val="center"/>
          </w:tcPr>
          <w:p w14:paraId="1F3CF58B" w14:textId="19C73957" w:rsidR="0029299C" w:rsidRPr="00DA5BA0" w:rsidRDefault="0029299C" w:rsidP="0029299C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</w:p>
        </w:tc>
        <w:tc>
          <w:tcPr>
            <w:tcW w:w="371" w:type="pct"/>
            <w:vAlign w:val="center"/>
          </w:tcPr>
          <w:p w14:paraId="00A496D6" w14:textId="77777777" w:rsidR="0029299C" w:rsidRPr="002572F9" w:rsidRDefault="0029299C" w:rsidP="0029299C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14:paraId="453B5234" w14:textId="77777777" w:rsidR="0029299C" w:rsidRPr="002572F9" w:rsidRDefault="0029299C" w:rsidP="0029299C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8" w:type="pct"/>
            <w:vAlign w:val="center"/>
          </w:tcPr>
          <w:p w14:paraId="0FCD7328" w14:textId="77777777" w:rsidR="0029299C" w:rsidRPr="00DA5BA0" w:rsidRDefault="0029299C" w:rsidP="0029299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9299C" w:rsidRPr="00DA5BA0" w14:paraId="69C5AB23" w14:textId="77777777" w:rsidTr="0029299C">
        <w:tc>
          <w:tcPr>
            <w:tcW w:w="129" w:type="pct"/>
            <w:vAlign w:val="center"/>
          </w:tcPr>
          <w:p w14:paraId="0C14B4BB" w14:textId="77777777" w:rsidR="0029299C" w:rsidRDefault="0029299C" w:rsidP="0029299C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pct"/>
            <w:vAlign w:val="center"/>
          </w:tcPr>
          <w:p w14:paraId="116622A8" w14:textId="77777777" w:rsidR="0029299C" w:rsidRPr="00BF3E24" w:rsidRDefault="0029299C" w:rsidP="0029299C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902" w:type="pct"/>
            <w:vAlign w:val="center"/>
          </w:tcPr>
          <w:p w14:paraId="164C4DC4" w14:textId="3D116920" w:rsidR="0029299C" w:rsidRPr="002572F9" w:rsidRDefault="0029299C" w:rsidP="00241599">
            <w:pPr>
              <w:spacing w:before="60" w:after="60"/>
              <w:ind w:right="148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2572F9">
              <w:rPr>
                <w:b/>
                <w:bCs/>
                <w:sz w:val="26"/>
                <w:szCs w:val="26"/>
              </w:rPr>
              <w:t>Tổng</w:t>
            </w:r>
            <w:proofErr w:type="spellEnd"/>
            <w:r w:rsidRPr="002572F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572F9">
              <w:rPr>
                <w:b/>
                <w:bCs/>
                <w:sz w:val="26"/>
                <w:szCs w:val="26"/>
              </w:rPr>
              <w:t>cộng</w:t>
            </w:r>
            <w:bookmarkStart w:id="0" w:name="_GoBack"/>
            <w:bookmarkEnd w:id="0"/>
            <w:proofErr w:type="spellEnd"/>
          </w:p>
        </w:tc>
        <w:tc>
          <w:tcPr>
            <w:tcW w:w="285" w:type="pct"/>
            <w:vAlign w:val="center"/>
          </w:tcPr>
          <w:p w14:paraId="08501DAA" w14:textId="77777777" w:rsidR="0029299C" w:rsidRPr="00DA5BA0" w:rsidRDefault="0029299C" w:rsidP="0029299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9" w:type="pct"/>
            <w:vAlign w:val="center"/>
          </w:tcPr>
          <w:p w14:paraId="048EC4D9" w14:textId="77777777" w:rsidR="0029299C" w:rsidRPr="00DA5BA0" w:rsidRDefault="0029299C" w:rsidP="0029299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8" w:type="pct"/>
            <w:vAlign w:val="center"/>
          </w:tcPr>
          <w:p w14:paraId="7422743F" w14:textId="77777777" w:rsidR="0029299C" w:rsidRPr="00DA5BA0" w:rsidRDefault="0029299C" w:rsidP="0029299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8" w:type="pct"/>
            <w:vAlign w:val="center"/>
          </w:tcPr>
          <w:p w14:paraId="68D296A9" w14:textId="77777777" w:rsidR="0029299C" w:rsidRPr="00DA5BA0" w:rsidRDefault="0029299C" w:rsidP="0029299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8" w:type="pct"/>
            <w:vAlign w:val="center"/>
          </w:tcPr>
          <w:p w14:paraId="71EAC24F" w14:textId="77777777" w:rsidR="0029299C" w:rsidRPr="00DA5BA0" w:rsidRDefault="0029299C" w:rsidP="0029299C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7" w:type="pct"/>
            <w:vAlign w:val="center"/>
          </w:tcPr>
          <w:p w14:paraId="562D46A3" w14:textId="77777777" w:rsidR="0029299C" w:rsidRDefault="0029299C" w:rsidP="0029299C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71" w:type="pct"/>
            <w:vAlign w:val="center"/>
          </w:tcPr>
          <w:p w14:paraId="21FBB176" w14:textId="77777777" w:rsidR="0029299C" w:rsidRDefault="0029299C" w:rsidP="0029299C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14:paraId="4FD3B1F7" w14:textId="5759D676" w:rsidR="0029299C" w:rsidRPr="002572F9" w:rsidRDefault="0029299C" w:rsidP="0029299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8" w:type="pct"/>
            <w:vAlign w:val="center"/>
          </w:tcPr>
          <w:p w14:paraId="075F301E" w14:textId="77777777" w:rsidR="0029299C" w:rsidRPr="00DA5BA0" w:rsidRDefault="0029299C" w:rsidP="0029299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5B248AD6" w14:textId="5F91DE14" w:rsidR="007D474C" w:rsidRPr="00DA5BA0" w:rsidRDefault="00197781" w:rsidP="0029299C">
      <w:pPr>
        <w:pStyle w:val="ListParagraph"/>
        <w:numPr>
          <w:ilvl w:val="0"/>
          <w:numId w:val="2"/>
        </w:numPr>
        <w:spacing w:before="120" w:after="120"/>
        <w:ind w:left="357" w:hanging="357"/>
        <w:contextualSpacing w:val="0"/>
        <w:rPr>
          <w:b/>
          <w:bCs/>
          <w:sz w:val="26"/>
          <w:szCs w:val="26"/>
        </w:rPr>
      </w:pPr>
      <w:proofErr w:type="spellStart"/>
      <w:r w:rsidRPr="00DA5BA0">
        <w:rPr>
          <w:b/>
          <w:bCs/>
          <w:sz w:val="26"/>
          <w:szCs w:val="26"/>
        </w:rPr>
        <w:lastRenderedPageBreak/>
        <w:t>Yêu</w:t>
      </w:r>
      <w:proofErr w:type="spellEnd"/>
      <w:r w:rsidRPr="00DA5BA0">
        <w:rPr>
          <w:b/>
          <w:bCs/>
          <w:sz w:val="26"/>
          <w:szCs w:val="26"/>
        </w:rPr>
        <w:t xml:space="preserve"> </w:t>
      </w:r>
      <w:proofErr w:type="spellStart"/>
      <w:r w:rsidRPr="00DA5BA0">
        <w:rPr>
          <w:b/>
          <w:bCs/>
          <w:sz w:val="26"/>
          <w:szCs w:val="26"/>
        </w:rPr>
        <w:t>cầu</w:t>
      </w:r>
      <w:proofErr w:type="spellEnd"/>
      <w:r w:rsidRPr="00DA5BA0">
        <w:rPr>
          <w:b/>
          <w:bCs/>
          <w:sz w:val="26"/>
          <w:szCs w:val="26"/>
        </w:rPr>
        <w:t xml:space="preserve"> </w:t>
      </w:r>
      <w:proofErr w:type="spellStart"/>
      <w:r w:rsidRPr="00DA5BA0">
        <w:rPr>
          <w:b/>
          <w:bCs/>
          <w:sz w:val="26"/>
          <w:szCs w:val="26"/>
        </w:rPr>
        <w:t>báo</w:t>
      </w:r>
      <w:proofErr w:type="spellEnd"/>
      <w:r w:rsidRPr="00DA5BA0">
        <w:rPr>
          <w:b/>
          <w:bCs/>
          <w:sz w:val="26"/>
          <w:szCs w:val="26"/>
        </w:rPr>
        <w:t xml:space="preserve"> </w:t>
      </w:r>
      <w:proofErr w:type="spellStart"/>
      <w:r w:rsidRPr="00DA5BA0">
        <w:rPr>
          <w:b/>
          <w:bCs/>
          <w:sz w:val="26"/>
          <w:szCs w:val="26"/>
        </w:rPr>
        <w:t>giá</w:t>
      </w:r>
      <w:proofErr w:type="spellEnd"/>
      <w:r w:rsidRPr="00DA5BA0">
        <w:rPr>
          <w:b/>
          <w:bCs/>
          <w:sz w:val="26"/>
          <w:szCs w:val="26"/>
        </w:rPr>
        <w:t>:</w:t>
      </w:r>
    </w:p>
    <w:p w14:paraId="4D2C99A5" w14:textId="77777777" w:rsidR="007D474C" w:rsidRPr="00DA5BA0" w:rsidRDefault="007D474C" w:rsidP="0029299C">
      <w:pPr>
        <w:spacing w:before="120" w:after="120"/>
        <w:ind w:firstLine="360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- </w:t>
      </w:r>
      <w:proofErr w:type="spellStart"/>
      <w:r w:rsidRPr="00DA5BA0">
        <w:rPr>
          <w:sz w:val="26"/>
          <w:szCs w:val="26"/>
        </w:rPr>
        <w:t>Báo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có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hiệu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lực</w:t>
      </w:r>
      <w:proofErr w:type="spellEnd"/>
      <w:r w:rsidRPr="00DA5BA0">
        <w:rPr>
          <w:sz w:val="26"/>
          <w:szCs w:val="26"/>
        </w:rPr>
        <w:t xml:space="preserve"> …..</w:t>
      </w:r>
      <w:r w:rsidRPr="00DA5BA0">
        <w:rPr>
          <w:sz w:val="26"/>
          <w:szCs w:val="26"/>
          <w:vertAlign w:val="superscript"/>
        </w:rPr>
        <w:t>(</w:t>
      </w:r>
      <w:r w:rsidRPr="00DA5BA0">
        <w:rPr>
          <w:rStyle w:val="FootnoteReference"/>
          <w:sz w:val="26"/>
          <w:szCs w:val="26"/>
          <w:vertAlign w:val="superscript"/>
        </w:rPr>
        <w:footnoteReference w:id="1"/>
      </w:r>
      <w:r w:rsidRPr="00DA5BA0">
        <w:rPr>
          <w:sz w:val="26"/>
          <w:szCs w:val="26"/>
          <w:vertAlign w:val="superscript"/>
        </w:rPr>
        <w:t>)</w:t>
      </w:r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kể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từ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báo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>;</w:t>
      </w:r>
    </w:p>
    <w:p w14:paraId="5E06E755" w14:textId="044E0A4F" w:rsidR="00BD6449" w:rsidRDefault="00BD6449" w:rsidP="0029299C">
      <w:pPr>
        <w:spacing w:before="120" w:after="12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854FEC">
        <w:rPr>
          <w:sz w:val="26"/>
          <w:szCs w:val="26"/>
        </w:rPr>
        <w:t>Bảo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hành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tối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thiểu</w:t>
      </w:r>
      <w:proofErr w:type="spellEnd"/>
      <w:r w:rsidRPr="00854FEC">
        <w:rPr>
          <w:sz w:val="26"/>
          <w:szCs w:val="26"/>
        </w:rPr>
        <w:t xml:space="preserve"> 12 </w:t>
      </w:r>
      <w:proofErr w:type="spellStart"/>
      <w:r w:rsidRPr="00854FEC">
        <w:rPr>
          <w:sz w:val="26"/>
          <w:szCs w:val="26"/>
        </w:rPr>
        <w:t>tháng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kể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từ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ngày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hàng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hóa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được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nghiệm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thu</w:t>
      </w:r>
      <w:proofErr w:type="spellEnd"/>
      <w:r>
        <w:rPr>
          <w:sz w:val="26"/>
          <w:szCs w:val="26"/>
        </w:rPr>
        <w:t>;</w:t>
      </w:r>
    </w:p>
    <w:p w14:paraId="06F86F11" w14:textId="74EEE5E5" w:rsidR="0029299C" w:rsidRDefault="0029299C" w:rsidP="0029299C">
      <w:pPr>
        <w:spacing w:before="120" w:after="12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mới</w:t>
      </w:r>
      <w:proofErr w:type="spellEnd"/>
      <w:r>
        <w:rPr>
          <w:sz w:val="26"/>
          <w:szCs w:val="26"/>
        </w:rPr>
        <w:t xml:space="preserve"> 100%, </w:t>
      </w:r>
      <w:proofErr w:type="spellStart"/>
      <w:r w:rsidRPr="00854FEC">
        <w:rPr>
          <w:sz w:val="26"/>
          <w:szCs w:val="26"/>
        </w:rPr>
        <w:t>sản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xuất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từ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năm</w:t>
      </w:r>
      <w:proofErr w:type="spellEnd"/>
      <w:r w:rsidRPr="00854FEC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trở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về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sau</w:t>
      </w:r>
      <w:proofErr w:type="spellEnd"/>
      <w:r w:rsidRPr="00BF3E24">
        <w:rPr>
          <w:sz w:val="26"/>
          <w:szCs w:val="26"/>
        </w:rPr>
        <w:t>;</w:t>
      </w:r>
    </w:p>
    <w:p w14:paraId="03C98744" w14:textId="77777777" w:rsidR="0029299C" w:rsidRDefault="0029299C" w:rsidP="0029299C">
      <w:pPr>
        <w:spacing w:before="120" w:after="12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F04B1C">
        <w:rPr>
          <w:sz w:val="26"/>
          <w:szCs w:val="26"/>
        </w:rPr>
        <w:t>Hàng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hóa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phải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có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nguồn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gốc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xuất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xứ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rõ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ràng</w:t>
      </w:r>
      <w:proofErr w:type="spellEnd"/>
      <w:r w:rsidRPr="00F04B1C">
        <w:rPr>
          <w:sz w:val="26"/>
          <w:szCs w:val="26"/>
        </w:rPr>
        <w:t>;</w:t>
      </w:r>
    </w:p>
    <w:p w14:paraId="6556F5FF" w14:textId="77777777" w:rsidR="0029299C" w:rsidRDefault="0029299C" w:rsidP="0029299C">
      <w:pPr>
        <w:spacing w:before="120" w:after="12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BF3E24">
        <w:rPr>
          <w:sz w:val="26"/>
          <w:szCs w:val="26"/>
        </w:rPr>
        <w:t>Hàng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hóa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giao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phải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còn</w:t>
      </w:r>
      <w:proofErr w:type="spellEnd"/>
      <w:r w:rsidRPr="00BF3E24">
        <w:rPr>
          <w:sz w:val="26"/>
          <w:szCs w:val="26"/>
        </w:rPr>
        <w:t xml:space="preserve"> “</w:t>
      </w:r>
      <w:proofErr w:type="spellStart"/>
      <w:r w:rsidRPr="00BF3E24">
        <w:rPr>
          <w:sz w:val="26"/>
          <w:szCs w:val="26"/>
        </w:rPr>
        <w:t>nguyên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đai</w:t>
      </w:r>
      <w:proofErr w:type="spellEnd"/>
      <w:r w:rsidRPr="00BF3E24">
        <w:rPr>
          <w:sz w:val="26"/>
          <w:szCs w:val="26"/>
        </w:rPr>
        <w:t xml:space="preserve">, </w:t>
      </w:r>
      <w:proofErr w:type="spellStart"/>
      <w:r w:rsidRPr="00BF3E24">
        <w:rPr>
          <w:sz w:val="26"/>
          <w:szCs w:val="26"/>
        </w:rPr>
        <w:t>nguyên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kiện</w:t>
      </w:r>
      <w:proofErr w:type="spellEnd"/>
      <w:r w:rsidRPr="00BF3E24">
        <w:rPr>
          <w:sz w:val="26"/>
          <w:szCs w:val="26"/>
        </w:rPr>
        <w:t xml:space="preserve">”, </w:t>
      </w:r>
      <w:proofErr w:type="spellStart"/>
      <w:r w:rsidRPr="00BF3E24">
        <w:rPr>
          <w:sz w:val="26"/>
          <w:szCs w:val="26"/>
        </w:rPr>
        <w:t>bao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bì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không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bị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rách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hoặc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xé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bỏ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hoặc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bị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thấm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nước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khi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giao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hàng</w:t>
      </w:r>
      <w:proofErr w:type="spellEnd"/>
      <w:r w:rsidRPr="000C13E3">
        <w:rPr>
          <w:sz w:val="26"/>
          <w:szCs w:val="26"/>
        </w:rPr>
        <w:t>;</w:t>
      </w:r>
    </w:p>
    <w:p w14:paraId="54281D9D" w14:textId="77777777" w:rsidR="0029299C" w:rsidRPr="00B525B0" w:rsidRDefault="0029299C" w:rsidP="0029299C">
      <w:pPr>
        <w:spacing w:before="120" w:after="12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921E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102D13">
        <w:rPr>
          <w:sz w:val="26"/>
          <w:szCs w:val="26"/>
        </w:rPr>
        <w:t>hiều</w:t>
      </w:r>
      <w:proofErr w:type="spellEnd"/>
      <w:r w:rsidRPr="00102D13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ngang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của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rèm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theo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yêu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cầu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của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Chủ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đầu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tư</w:t>
      </w:r>
      <w:proofErr w:type="spellEnd"/>
      <w:r w:rsidRPr="00B525B0">
        <w:rPr>
          <w:sz w:val="26"/>
          <w:szCs w:val="26"/>
        </w:rPr>
        <w:t>;</w:t>
      </w:r>
    </w:p>
    <w:p w14:paraId="2204F20B" w14:textId="77777777" w:rsidR="0029299C" w:rsidRPr="00B525B0" w:rsidRDefault="0029299C" w:rsidP="0029299C">
      <w:pPr>
        <w:spacing w:before="120" w:after="120"/>
        <w:ind w:firstLine="360"/>
        <w:jc w:val="both"/>
        <w:rPr>
          <w:sz w:val="26"/>
          <w:szCs w:val="26"/>
        </w:rPr>
      </w:pPr>
      <w:r w:rsidRPr="00B525B0">
        <w:rPr>
          <w:sz w:val="26"/>
          <w:szCs w:val="26"/>
        </w:rPr>
        <w:t xml:space="preserve">- </w:t>
      </w:r>
      <w:proofErr w:type="spellStart"/>
      <w:r w:rsidRPr="00B525B0">
        <w:rPr>
          <w:sz w:val="26"/>
          <w:szCs w:val="26"/>
        </w:rPr>
        <w:t>Nhà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thầu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thực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hiện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theo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chỉ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dẫn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của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Chủ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đầu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tư</w:t>
      </w:r>
      <w:proofErr w:type="spellEnd"/>
      <w:r w:rsidRPr="00B525B0">
        <w:rPr>
          <w:sz w:val="26"/>
          <w:szCs w:val="26"/>
        </w:rPr>
        <w:t xml:space="preserve">, </w:t>
      </w:r>
      <w:proofErr w:type="spellStart"/>
      <w:r w:rsidRPr="00B525B0">
        <w:rPr>
          <w:sz w:val="26"/>
          <w:szCs w:val="26"/>
        </w:rPr>
        <w:t>có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tham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khảo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theo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bản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vẽ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đính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kèm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và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thực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tế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khảo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sát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trước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khi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thực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hiện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lắp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đặt</w:t>
      </w:r>
      <w:proofErr w:type="spellEnd"/>
      <w:r w:rsidRPr="00B525B0">
        <w:rPr>
          <w:sz w:val="26"/>
          <w:szCs w:val="26"/>
        </w:rPr>
        <w:t xml:space="preserve"> </w:t>
      </w:r>
      <w:proofErr w:type="spellStart"/>
      <w:r w:rsidRPr="00B525B0">
        <w:rPr>
          <w:sz w:val="26"/>
          <w:szCs w:val="26"/>
        </w:rPr>
        <w:t>hệ</w:t>
      </w:r>
      <w:proofErr w:type="spellEnd"/>
      <w:r w:rsidRPr="00B525B0">
        <w:rPr>
          <w:sz w:val="26"/>
          <w:szCs w:val="26"/>
        </w:rPr>
        <w:t xml:space="preserve"> ray </w:t>
      </w:r>
      <w:proofErr w:type="spellStart"/>
      <w:r w:rsidRPr="00B525B0">
        <w:rPr>
          <w:sz w:val="26"/>
          <w:szCs w:val="26"/>
        </w:rPr>
        <w:t>treo</w:t>
      </w:r>
      <w:proofErr w:type="spellEnd"/>
      <w:r w:rsidRPr="00B525B0">
        <w:rPr>
          <w:sz w:val="26"/>
          <w:szCs w:val="26"/>
        </w:rPr>
        <w:t>;</w:t>
      </w:r>
    </w:p>
    <w:p w14:paraId="32C659F4" w14:textId="77777777" w:rsidR="0029299C" w:rsidRPr="00BF3E24" w:rsidRDefault="0029299C" w:rsidP="0029299C">
      <w:pPr>
        <w:spacing w:before="120" w:after="12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BF3E24">
        <w:rPr>
          <w:sz w:val="26"/>
          <w:szCs w:val="26"/>
        </w:rPr>
        <w:t>Nhà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thầu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thực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hiện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đầy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đủ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các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trách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nhiệm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về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đảm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bảo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chất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lượng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hàng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hóa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theo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các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quy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định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của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pháp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luật</w:t>
      </w:r>
      <w:proofErr w:type="spellEnd"/>
      <w:r w:rsidRPr="00BF3E24">
        <w:rPr>
          <w:sz w:val="26"/>
          <w:szCs w:val="26"/>
        </w:rPr>
        <w:t>;</w:t>
      </w:r>
    </w:p>
    <w:p w14:paraId="7E75A3D4" w14:textId="77777777" w:rsidR="0029299C" w:rsidRPr="00BF3E24" w:rsidRDefault="0029299C" w:rsidP="0029299C">
      <w:pPr>
        <w:spacing w:before="120" w:after="12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BF3E24">
        <w:rPr>
          <w:sz w:val="26"/>
          <w:szCs w:val="26"/>
        </w:rPr>
        <w:t>Nhà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thầu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BF3E24">
        <w:rPr>
          <w:sz w:val="26"/>
          <w:szCs w:val="26"/>
        </w:rPr>
        <w:t>uân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thủ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theo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các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quy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định</w:t>
      </w:r>
      <w:proofErr w:type="spellEnd"/>
      <w:r w:rsidRPr="00BF3E24">
        <w:rPr>
          <w:sz w:val="26"/>
          <w:szCs w:val="26"/>
        </w:rPr>
        <w:t xml:space="preserve">, </w:t>
      </w:r>
      <w:proofErr w:type="spellStart"/>
      <w:r w:rsidRPr="00BF3E24">
        <w:rPr>
          <w:sz w:val="26"/>
          <w:szCs w:val="26"/>
        </w:rPr>
        <w:t>quy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trình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của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Bệnh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viện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Đại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học</w:t>
      </w:r>
      <w:proofErr w:type="spellEnd"/>
      <w:r w:rsidRPr="00BF3E24">
        <w:rPr>
          <w:sz w:val="26"/>
          <w:szCs w:val="26"/>
        </w:rPr>
        <w:t xml:space="preserve"> Y </w:t>
      </w:r>
      <w:proofErr w:type="spellStart"/>
      <w:r w:rsidRPr="00BF3E24">
        <w:rPr>
          <w:sz w:val="26"/>
          <w:szCs w:val="26"/>
        </w:rPr>
        <w:t>Dược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Thành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phố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Hồ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Chí</w:t>
      </w:r>
      <w:proofErr w:type="spellEnd"/>
      <w:r w:rsidRPr="00854FEC">
        <w:rPr>
          <w:sz w:val="26"/>
          <w:szCs w:val="26"/>
        </w:rPr>
        <w:t xml:space="preserve"> Minh</w:t>
      </w:r>
      <w:r w:rsidRPr="00BF3E24">
        <w:rPr>
          <w:sz w:val="26"/>
          <w:szCs w:val="26"/>
        </w:rPr>
        <w:t>;</w:t>
      </w:r>
    </w:p>
    <w:p w14:paraId="22F9EA61" w14:textId="167AC3D2" w:rsidR="00673EDE" w:rsidRDefault="0029299C" w:rsidP="0029299C">
      <w:pPr>
        <w:spacing w:before="120" w:after="12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BF3E24">
        <w:rPr>
          <w:sz w:val="26"/>
          <w:szCs w:val="26"/>
        </w:rPr>
        <w:t>Nhà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thầu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BF3E24">
        <w:rPr>
          <w:sz w:val="26"/>
          <w:szCs w:val="26"/>
        </w:rPr>
        <w:t>hịu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trách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nhiệm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bồi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thường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thiệt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hại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khi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xảy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ra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sự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cố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trong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quá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trình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thực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hiện</w:t>
      </w:r>
      <w:proofErr w:type="spellEnd"/>
    </w:p>
    <w:p w14:paraId="7EB70981" w14:textId="77777777" w:rsidR="0029299C" w:rsidRPr="00673EDE" w:rsidRDefault="0029299C" w:rsidP="0029299C">
      <w:pPr>
        <w:spacing w:before="60" w:after="60"/>
        <w:ind w:firstLine="360"/>
        <w:jc w:val="both"/>
        <w:rPr>
          <w:sz w:val="26"/>
          <w:szCs w:val="2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6"/>
      </w:tblGrid>
      <w:tr w:rsidR="005A2CD8" w:rsidRPr="00DA5BA0" w14:paraId="6A79159C" w14:textId="77777777" w:rsidTr="00EF415E">
        <w:tc>
          <w:tcPr>
            <w:tcW w:w="2500" w:type="pct"/>
          </w:tcPr>
          <w:p w14:paraId="03C420FA" w14:textId="77777777" w:rsidR="00EF415E" w:rsidRPr="00DA5BA0" w:rsidRDefault="00EF415E" w:rsidP="00EF415E">
            <w:pPr>
              <w:spacing w:before="80" w:after="80"/>
              <w:rPr>
                <w:bCs/>
                <w:sz w:val="26"/>
                <w:szCs w:val="26"/>
              </w:rPr>
            </w:pPr>
          </w:p>
        </w:tc>
        <w:tc>
          <w:tcPr>
            <w:tcW w:w="2500" w:type="pct"/>
          </w:tcPr>
          <w:p w14:paraId="1631D889" w14:textId="3B8ED5BB" w:rsidR="00EF415E" w:rsidRPr="00DA5BA0" w:rsidRDefault="00EF415E" w:rsidP="005A2CD8">
            <w:pPr>
              <w:jc w:val="center"/>
              <w:rPr>
                <w:sz w:val="26"/>
                <w:szCs w:val="26"/>
              </w:rPr>
            </w:pPr>
            <w:proofErr w:type="spellStart"/>
            <w:r w:rsidRPr="00DA5BA0">
              <w:rPr>
                <w:sz w:val="26"/>
                <w:szCs w:val="26"/>
              </w:rPr>
              <w:t>Ngày</w:t>
            </w:r>
            <w:proofErr w:type="spellEnd"/>
            <w:r w:rsidRPr="00DA5BA0">
              <w:rPr>
                <w:sz w:val="26"/>
                <w:szCs w:val="26"/>
              </w:rPr>
              <w:t xml:space="preserve"> … </w:t>
            </w:r>
            <w:proofErr w:type="spellStart"/>
            <w:r w:rsidRPr="00DA5BA0">
              <w:rPr>
                <w:sz w:val="26"/>
                <w:szCs w:val="26"/>
              </w:rPr>
              <w:t>tháng</w:t>
            </w:r>
            <w:proofErr w:type="spellEnd"/>
            <w:r w:rsidRPr="00DA5BA0">
              <w:rPr>
                <w:sz w:val="26"/>
                <w:szCs w:val="26"/>
              </w:rPr>
              <w:t xml:space="preserve"> …. </w:t>
            </w:r>
            <w:proofErr w:type="spellStart"/>
            <w:r w:rsidRPr="00DA5BA0">
              <w:rPr>
                <w:sz w:val="26"/>
                <w:szCs w:val="26"/>
              </w:rPr>
              <w:t>năm</w:t>
            </w:r>
            <w:proofErr w:type="spellEnd"/>
            <w:r w:rsidRPr="00DA5BA0">
              <w:rPr>
                <w:sz w:val="26"/>
                <w:szCs w:val="26"/>
              </w:rPr>
              <w:t xml:space="preserve"> 202</w:t>
            </w:r>
            <w:r w:rsidR="00AF70C4">
              <w:rPr>
                <w:sz w:val="26"/>
                <w:szCs w:val="26"/>
              </w:rPr>
              <w:t>5</w:t>
            </w:r>
          </w:p>
          <w:p w14:paraId="114CBEB6" w14:textId="77777777" w:rsidR="00EF415E" w:rsidRPr="00DA5BA0" w:rsidRDefault="00EF415E" w:rsidP="005A2CD8">
            <w:pPr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483D15C6" w14:textId="77777777" w:rsidR="00EF415E" w:rsidRPr="00DA5BA0" w:rsidRDefault="00EF415E" w:rsidP="005A2CD8">
            <w:pPr>
              <w:jc w:val="center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>(</w:t>
            </w:r>
            <w:proofErr w:type="spellStart"/>
            <w:r w:rsidRPr="00DA5BA0">
              <w:rPr>
                <w:sz w:val="26"/>
                <w:szCs w:val="26"/>
              </w:rPr>
              <w:t>Ký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tên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và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đóng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dấu</w:t>
            </w:r>
            <w:proofErr w:type="spellEnd"/>
            <w:r w:rsidRPr="00DA5BA0">
              <w:rPr>
                <w:sz w:val="26"/>
                <w:szCs w:val="26"/>
              </w:rPr>
              <w:t>)</w:t>
            </w:r>
          </w:p>
        </w:tc>
      </w:tr>
    </w:tbl>
    <w:p w14:paraId="423EE2DB" w14:textId="77777777" w:rsidR="00EF415E" w:rsidRPr="00DA5BA0" w:rsidRDefault="00EF415E" w:rsidP="00197781">
      <w:pPr>
        <w:spacing w:before="80" w:after="80"/>
        <w:ind w:firstLine="567"/>
        <w:rPr>
          <w:bCs/>
          <w:sz w:val="26"/>
          <w:szCs w:val="26"/>
        </w:rPr>
      </w:pPr>
    </w:p>
    <w:sectPr w:rsidR="00EF415E" w:rsidRPr="00DA5BA0" w:rsidSect="008F13DE">
      <w:headerReference w:type="default" r:id="rId14"/>
      <w:footerReference w:type="default" r:id="rId15"/>
      <w:footerReference w:type="first" r:id="rId16"/>
      <w:pgSz w:w="16839" w:h="11907" w:orient="landscape" w:code="9"/>
      <w:pgMar w:top="1701" w:right="1134" w:bottom="1134" w:left="1134" w:header="794" w:footer="68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44ACA" w14:textId="77777777" w:rsidR="002A5077" w:rsidRDefault="002A5077">
      <w:r>
        <w:separator/>
      </w:r>
    </w:p>
  </w:endnote>
  <w:endnote w:type="continuationSeparator" w:id="0">
    <w:p w14:paraId="35F9C3C8" w14:textId="77777777" w:rsidR="002A5077" w:rsidRDefault="002A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2D7E" w14:textId="77777777" w:rsidR="008E3C67" w:rsidRDefault="008E3C67">
    <w:pPr>
      <w:pStyle w:val="Footer"/>
    </w:pPr>
  </w:p>
  <w:p w14:paraId="1D93DAB2" w14:textId="77777777" w:rsidR="008E3C67" w:rsidRDefault="008E3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8E3C67" w14:paraId="4FBFAF29" w14:textId="77777777">
      <w:tc>
        <w:tcPr>
          <w:tcW w:w="2801" w:type="dxa"/>
        </w:tcPr>
        <w:p w14:paraId="59D5FEAA" w14:textId="77777777" w:rsidR="008E3C67" w:rsidRDefault="002A5077">
          <w:pPr>
            <w:jc w:val="center"/>
          </w:pPr>
          <w:sdt>
            <w:sdtPr>
              <w:id w:val="421225651"/>
              <w:lock w:val="sdtContentLocked"/>
              <w:picture/>
            </w:sdtPr>
            <w:sdtEndPr/>
            <w:sdtContent>
              <w:r w:rsidR="00CF2BF2">
                <w:rPr>
                  <w:noProof/>
                </w:rPr>
                <w:drawing>
                  <wp:inline distT="0" distB="0" distL="0" distR="0" wp14:anchorId="70123AF9" wp14:editId="066D42E5">
                    <wp:extent cx="466914" cy="466914"/>
                    <wp:effectExtent l="0" t="0" r="0" b="0"/>
                    <wp:docPr id="1591094981" name="Picture 159109498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0197963B" w14:textId="77777777" w:rsidR="008E3C67" w:rsidRDefault="00CF2BF2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2F6AFA13" w14:textId="77777777" w:rsidR="008E3C67" w:rsidRDefault="008E3C67"/>
      </w:tc>
      <w:tc>
        <w:tcPr>
          <w:tcW w:w="2801" w:type="dxa"/>
        </w:tcPr>
        <w:p w14:paraId="36087DED" w14:textId="77777777" w:rsidR="008E3C67" w:rsidRDefault="008E3C67"/>
      </w:tc>
      <w:tc>
        <w:tcPr>
          <w:tcW w:w="2801" w:type="dxa"/>
        </w:tcPr>
        <w:p w14:paraId="7ED3B5F6" w14:textId="77777777" w:rsidR="008E3C67" w:rsidRDefault="008E3C67"/>
      </w:tc>
      <w:tc>
        <w:tcPr>
          <w:tcW w:w="2801" w:type="dxa"/>
        </w:tcPr>
        <w:p w14:paraId="1AF8A431" w14:textId="77777777" w:rsidR="008E3C67" w:rsidRDefault="008E3C6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9CF39" w14:textId="77777777" w:rsidR="002A5077" w:rsidRDefault="002A5077">
      <w:r>
        <w:separator/>
      </w:r>
    </w:p>
  </w:footnote>
  <w:footnote w:type="continuationSeparator" w:id="0">
    <w:p w14:paraId="74606A51" w14:textId="77777777" w:rsidR="002A5077" w:rsidRDefault="002A5077">
      <w:r>
        <w:continuationSeparator/>
      </w:r>
    </w:p>
  </w:footnote>
  <w:footnote w:id="1">
    <w:p w14:paraId="6857D6DA" w14:textId="77777777" w:rsidR="007D474C" w:rsidRDefault="007D474C" w:rsidP="007D474C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: </w:t>
      </w:r>
      <w:proofErr w:type="spellStart"/>
      <w:r w:rsidRPr="006F7BF7">
        <w:rPr>
          <w:sz w:val="22"/>
          <w:szCs w:val="22"/>
        </w:rPr>
        <w:t>khuyến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cáo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tối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thiểu</w:t>
      </w:r>
      <w:proofErr w:type="spellEnd"/>
      <w:r w:rsidRPr="006F7BF7">
        <w:rPr>
          <w:sz w:val="22"/>
          <w:szCs w:val="22"/>
        </w:rPr>
        <w:t xml:space="preserve"> 06 </w:t>
      </w:r>
      <w:proofErr w:type="spellStart"/>
      <w:r w:rsidRPr="006F7BF7">
        <w:rPr>
          <w:sz w:val="22"/>
          <w:szCs w:val="22"/>
        </w:rPr>
        <w:t>tháng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ngày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chào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giá</w:t>
      </w:r>
      <w:proofErr w:type="spellEnd"/>
      <w:r w:rsidRPr="006F7BF7">
        <w:rPr>
          <w:sz w:val="22"/>
          <w:szCs w:val="22"/>
        </w:rPr>
        <w:t>.</w:t>
      </w:r>
    </w:p>
    <w:p w14:paraId="0CDA5445" w14:textId="77777777" w:rsidR="007D474C" w:rsidRDefault="007D474C" w:rsidP="007D474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F1E37" w14:textId="77777777" w:rsidR="008E3C67" w:rsidRDefault="008E3C67">
    <w:pPr>
      <w:pStyle w:val="Header"/>
      <w:jc w:val="center"/>
    </w:pPr>
  </w:p>
  <w:p w14:paraId="51271340" w14:textId="77777777" w:rsidR="008E3C67" w:rsidRDefault="008E3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5D96"/>
    <w:multiLevelType w:val="hybridMultilevel"/>
    <w:tmpl w:val="40DCBF36"/>
    <w:lvl w:ilvl="0" w:tplc="0128926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F4A9E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4224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2ACD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ECFAB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8E0E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EA9B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D68E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EA42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460078"/>
    <w:multiLevelType w:val="hybridMultilevel"/>
    <w:tmpl w:val="E4402E12"/>
    <w:lvl w:ilvl="0" w:tplc="8E2831C0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58A871CA"/>
    <w:multiLevelType w:val="hybridMultilevel"/>
    <w:tmpl w:val="35E2A3D4"/>
    <w:lvl w:ilvl="0" w:tplc="9B7ECC8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7B47D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DE1F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C88A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3271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8C7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668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6647B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6E17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F26C25"/>
    <w:multiLevelType w:val="hybridMultilevel"/>
    <w:tmpl w:val="3FDEB39C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6FFF474B"/>
    <w:multiLevelType w:val="hybridMultilevel"/>
    <w:tmpl w:val="9A16B88C"/>
    <w:lvl w:ilvl="0" w:tplc="848C4E22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FDF40E0A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DE146658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DB96C066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A1248F0A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F5E2985A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212C165C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49A22CFA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E258FDDE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67"/>
    <w:rsid w:val="00032604"/>
    <w:rsid w:val="00041180"/>
    <w:rsid w:val="000C3CBC"/>
    <w:rsid w:val="00135F5E"/>
    <w:rsid w:val="00155054"/>
    <w:rsid w:val="00165B86"/>
    <w:rsid w:val="00186727"/>
    <w:rsid w:val="00197781"/>
    <w:rsid w:val="00220F55"/>
    <w:rsid w:val="00241599"/>
    <w:rsid w:val="00253F35"/>
    <w:rsid w:val="00254A3F"/>
    <w:rsid w:val="002572F9"/>
    <w:rsid w:val="0029299C"/>
    <w:rsid w:val="0029395B"/>
    <w:rsid w:val="00296534"/>
    <w:rsid w:val="00297C05"/>
    <w:rsid w:val="002A5077"/>
    <w:rsid w:val="002D5832"/>
    <w:rsid w:val="002E337F"/>
    <w:rsid w:val="002F5583"/>
    <w:rsid w:val="003404C3"/>
    <w:rsid w:val="00341B47"/>
    <w:rsid w:val="003A2FED"/>
    <w:rsid w:val="003A3C2A"/>
    <w:rsid w:val="00423602"/>
    <w:rsid w:val="00480CED"/>
    <w:rsid w:val="004B2E79"/>
    <w:rsid w:val="005A2CD8"/>
    <w:rsid w:val="006202FE"/>
    <w:rsid w:val="00621CF5"/>
    <w:rsid w:val="00650EC4"/>
    <w:rsid w:val="00673EDE"/>
    <w:rsid w:val="00680219"/>
    <w:rsid w:val="00691B1E"/>
    <w:rsid w:val="006E4D56"/>
    <w:rsid w:val="007025D6"/>
    <w:rsid w:val="00781ECB"/>
    <w:rsid w:val="007B0443"/>
    <w:rsid w:val="007B5DCD"/>
    <w:rsid w:val="007D0C72"/>
    <w:rsid w:val="007D474C"/>
    <w:rsid w:val="007E67C0"/>
    <w:rsid w:val="007F7104"/>
    <w:rsid w:val="00824085"/>
    <w:rsid w:val="008255F0"/>
    <w:rsid w:val="00836765"/>
    <w:rsid w:val="008C418E"/>
    <w:rsid w:val="008E3C67"/>
    <w:rsid w:val="008F13DE"/>
    <w:rsid w:val="00917EAA"/>
    <w:rsid w:val="00920243"/>
    <w:rsid w:val="00945AAA"/>
    <w:rsid w:val="00967C76"/>
    <w:rsid w:val="00971598"/>
    <w:rsid w:val="00995DEC"/>
    <w:rsid w:val="00A026FE"/>
    <w:rsid w:val="00A20FC1"/>
    <w:rsid w:val="00A47922"/>
    <w:rsid w:val="00A65C99"/>
    <w:rsid w:val="00A90B45"/>
    <w:rsid w:val="00AC5F24"/>
    <w:rsid w:val="00AF70C4"/>
    <w:rsid w:val="00B06137"/>
    <w:rsid w:val="00B54114"/>
    <w:rsid w:val="00B879FF"/>
    <w:rsid w:val="00B957C1"/>
    <w:rsid w:val="00B96CD3"/>
    <w:rsid w:val="00BD6449"/>
    <w:rsid w:val="00C211EF"/>
    <w:rsid w:val="00C30FEF"/>
    <w:rsid w:val="00C508AC"/>
    <w:rsid w:val="00C72D3A"/>
    <w:rsid w:val="00CC2D44"/>
    <w:rsid w:val="00CD3C92"/>
    <w:rsid w:val="00CF0C2E"/>
    <w:rsid w:val="00CF2BF2"/>
    <w:rsid w:val="00D05DC5"/>
    <w:rsid w:val="00D477C9"/>
    <w:rsid w:val="00D84F18"/>
    <w:rsid w:val="00DA20AA"/>
    <w:rsid w:val="00DA5BA0"/>
    <w:rsid w:val="00DD6A9D"/>
    <w:rsid w:val="00DF1CC3"/>
    <w:rsid w:val="00E20570"/>
    <w:rsid w:val="00E30056"/>
    <w:rsid w:val="00E30FA4"/>
    <w:rsid w:val="00EA3402"/>
    <w:rsid w:val="00EF415E"/>
    <w:rsid w:val="00EF437A"/>
    <w:rsid w:val="00FE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6E80"/>
  <w15:docId w15:val="{21698D20-5A6A-406F-A038-ED47DCDC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rsid w:val="007D474C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343C4512-AA8D-4C3E-8920-5285595E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Cao Thi Hoa (J22-268)</cp:lastModifiedBy>
  <cp:revision>35</cp:revision>
  <cp:lastPrinted>2024-12-19T02:40:00Z</cp:lastPrinted>
  <dcterms:created xsi:type="dcterms:W3CDTF">2024-08-21T09:20:00Z</dcterms:created>
  <dcterms:modified xsi:type="dcterms:W3CDTF">2025-09-10T02:01:00Z</dcterms:modified>
</cp:coreProperties>
</file>