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DC4F" w14:textId="77777777" w:rsidR="008E3C67" w:rsidRPr="00DA5BA0" w:rsidRDefault="00CF2BF2" w:rsidP="008F13DE">
      <w:pPr>
        <w:tabs>
          <w:tab w:val="left" w:pos="3945"/>
        </w:tabs>
        <w:spacing w:before="120" w:after="12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CÔNG TY: ……………………………………………</w:t>
      </w:r>
    </w:p>
    <w:p w14:paraId="77F39C9C" w14:textId="77777777" w:rsidR="008E3C67" w:rsidRPr="00DA5BA0" w:rsidRDefault="00CF2BF2" w:rsidP="008F13DE">
      <w:pPr>
        <w:spacing w:before="120" w:after="12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ĐỊA CHỈ: …………………………………………</w:t>
      </w:r>
      <w:proofErr w:type="gramStart"/>
      <w:r w:rsidRPr="00DA5BA0">
        <w:rPr>
          <w:b/>
          <w:bCs/>
          <w:sz w:val="26"/>
          <w:szCs w:val="26"/>
        </w:rPr>
        <w:t>…..</w:t>
      </w:r>
      <w:proofErr w:type="gramEnd"/>
    </w:p>
    <w:p w14:paraId="57CC0BAD" w14:textId="77777777" w:rsidR="008E3C67" w:rsidRPr="00DA5BA0" w:rsidRDefault="00CF2BF2" w:rsidP="008F13DE">
      <w:pPr>
        <w:spacing w:before="120" w:after="120"/>
        <w:rPr>
          <w:b/>
          <w:bCs/>
          <w:sz w:val="26"/>
          <w:szCs w:val="26"/>
        </w:rPr>
      </w:pPr>
      <w:r w:rsidRPr="00DA5BA0">
        <w:rPr>
          <w:b/>
          <w:bCs/>
          <w:sz w:val="26"/>
          <w:szCs w:val="26"/>
        </w:rPr>
        <w:t>SỐ ĐIỆN THOẠI: …………………………………...</w:t>
      </w:r>
    </w:p>
    <w:p w14:paraId="49E8C131" w14:textId="77777777" w:rsidR="008E3C67" w:rsidRPr="00DA5BA0" w:rsidRDefault="00CF2BF2">
      <w:pPr>
        <w:spacing w:before="120" w:after="120"/>
        <w:jc w:val="center"/>
        <w:rPr>
          <w:b/>
          <w:bCs/>
          <w:sz w:val="32"/>
          <w:szCs w:val="32"/>
        </w:rPr>
      </w:pPr>
      <w:r w:rsidRPr="00DA5BA0">
        <w:rPr>
          <w:b/>
          <w:bCs/>
          <w:sz w:val="32"/>
          <w:szCs w:val="32"/>
        </w:rPr>
        <w:t>BẢNG BÁO GIÁ</w:t>
      </w:r>
    </w:p>
    <w:p w14:paraId="01484A5F" w14:textId="6DC35BDB" w:rsidR="008E3C67" w:rsidRPr="00DA5BA0" w:rsidRDefault="00CF2BF2" w:rsidP="008F13DE">
      <w:pPr>
        <w:spacing w:before="120" w:after="120"/>
        <w:ind w:left="284"/>
        <w:jc w:val="both"/>
        <w:rPr>
          <w:sz w:val="26"/>
          <w:szCs w:val="26"/>
        </w:rPr>
      </w:pPr>
      <w:proofErr w:type="spellStart"/>
      <w:r w:rsidRPr="00DA5BA0">
        <w:rPr>
          <w:sz w:val="26"/>
          <w:szCs w:val="26"/>
        </w:rPr>
        <w:t>Kính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gửi</w:t>
      </w:r>
      <w:proofErr w:type="spellEnd"/>
      <w:r w:rsidRPr="00DA5BA0">
        <w:rPr>
          <w:sz w:val="26"/>
          <w:szCs w:val="26"/>
        </w:rPr>
        <w:t xml:space="preserve">: </w:t>
      </w:r>
      <w:proofErr w:type="spellStart"/>
      <w:r w:rsidRPr="00DA5BA0">
        <w:rPr>
          <w:sz w:val="26"/>
          <w:szCs w:val="26"/>
        </w:rPr>
        <w:t>Bệnh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viện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Đại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học</w:t>
      </w:r>
      <w:proofErr w:type="spellEnd"/>
      <w:r w:rsidRPr="00DA5BA0">
        <w:rPr>
          <w:sz w:val="26"/>
          <w:szCs w:val="26"/>
        </w:rPr>
        <w:t xml:space="preserve"> Y </w:t>
      </w:r>
      <w:proofErr w:type="spellStart"/>
      <w:r w:rsidRPr="00DA5BA0">
        <w:rPr>
          <w:sz w:val="26"/>
          <w:szCs w:val="26"/>
        </w:rPr>
        <w:t>Dược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Thành</w:t>
      </w:r>
      <w:proofErr w:type="spellEnd"/>
      <w:r w:rsidR="00A20FC1"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phố</w:t>
      </w:r>
      <w:proofErr w:type="spellEnd"/>
      <w:r w:rsidR="00A20FC1"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Hồ</w:t>
      </w:r>
      <w:proofErr w:type="spellEnd"/>
      <w:r w:rsidR="00A20FC1"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Chí</w:t>
      </w:r>
      <w:proofErr w:type="spellEnd"/>
      <w:r w:rsidR="00A20FC1" w:rsidRPr="00DA5BA0">
        <w:rPr>
          <w:sz w:val="26"/>
          <w:szCs w:val="26"/>
        </w:rPr>
        <w:t xml:space="preserve"> Minh</w:t>
      </w:r>
    </w:p>
    <w:p w14:paraId="4D59E29F" w14:textId="2372B946" w:rsidR="008E3C67" w:rsidRPr="00DA5BA0" w:rsidRDefault="00CF2BF2" w:rsidP="008F13DE">
      <w:pPr>
        <w:spacing w:before="120" w:after="120"/>
        <w:ind w:left="284"/>
        <w:jc w:val="both"/>
        <w:rPr>
          <w:sz w:val="26"/>
          <w:szCs w:val="26"/>
        </w:rPr>
      </w:pPr>
      <w:proofErr w:type="spellStart"/>
      <w:r w:rsidRPr="00DA5BA0">
        <w:rPr>
          <w:sz w:val="26"/>
          <w:szCs w:val="26"/>
        </w:rPr>
        <w:t>Địa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chỉ</w:t>
      </w:r>
      <w:proofErr w:type="spellEnd"/>
      <w:r w:rsidRPr="00DA5BA0">
        <w:rPr>
          <w:sz w:val="26"/>
          <w:szCs w:val="26"/>
        </w:rPr>
        <w:t xml:space="preserve">: 215 </w:t>
      </w:r>
      <w:proofErr w:type="spellStart"/>
      <w:r w:rsidRPr="00DA5BA0">
        <w:rPr>
          <w:sz w:val="26"/>
          <w:szCs w:val="26"/>
        </w:rPr>
        <w:t>Hồng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Bàng</w:t>
      </w:r>
      <w:proofErr w:type="spellEnd"/>
      <w:r w:rsidRPr="00DA5BA0">
        <w:rPr>
          <w:sz w:val="26"/>
          <w:szCs w:val="26"/>
        </w:rPr>
        <w:t xml:space="preserve">, </w:t>
      </w:r>
      <w:proofErr w:type="spellStart"/>
      <w:r w:rsidRPr="00DA5BA0">
        <w:rPr>
          <w:sz w:val="26"/>
          <w:szCs w:val="26"/>
        </w:rPr>
        <w:t>Phường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="00D1681D">
        <w:rPr>
          <w:sz w:val="26"/>
          <w:szCs w:val="26"/>
        </w:rPr>
        <w:t>Chợ</w:t>
      </w:r>
      <w:proofErr w:type="spellEnd"/>
      <w:r w:rsidR="00D1681D">
        <w:rPr>
          <w:sz w:val="26"/>
          <w:szCs w:val="26"/>
        </w:rPr>
        <w:t xml:space="preserve"> </w:t>
      </w:r>
      <w:proofErr w:type="spellStart"/>
      <w:r w:rsidR="00D1681D">
        <w:rPr>
          <w:sz w:val="26"/>
          <w:szCs w:val="26"/>
        </w:rPr>
        <w:t>Lớn</w:t>
      </w:r>
      <w:proofErr w:type="spellEnd"/>
      <w:r w:rsidRPr="00DA5BA0">
        <w:rPr>
          <w:sz w:val="26"/>
          <w:szCs w:val="26"/>
        </w:rPr>
        <w:t xml:space="preserve">, </w:t>
      </w:r>
      <w:proofErr w:type="spellStart"/>
      <w:r w:rsidR="00A20FC1" w:rsidRPr="00DA5BA0">
        <w:rPr>
          <w:sz w:val="26"/>
          <w:szCs w:val="26"/>
        </w:rPr>
        <w:t>Thành</w:t>
      </w:r>
      <w:proofErr w:type="spellEnd"/>
      <w:r w:rsidR="00A20FC1"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phố</w:t>
      </w:r>
      <w:proofErr w:type="spellEnd"/>
      <w:r w:rsidR="00A20FC1"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Hồ</w:t>
      </w:r>
      <w:proofErr w:type="spellEnd"/>
      <w:r w:rsidR="00A20FC1" w:rsidRPr="00DA5BA0">
        <w:rPr>
          <w:sz w:val="26"/>
          <w:szCs w:val="26"/>
        </w:rPr>
        <w:t xml:space="preserve"> </w:t>
      </w:r>
      <w:proofErr w:type="spellStart"/>
      <w:r w:rsidR="00A20FC1" w:rsidRPr="00DA5BA0">
        <w:rPr>
          <w:sz w:val="26"/>
          <w:szCs w:val="26"/>
        </w:rPr>
        <w:t>Chí</w:t>
      </w:r>
      <w:proofErr w:type="spellEnd"/>
      <w:r w:rsidR="00A20FC1" w:rsidRPr="00DA5BA0">
        <w:rPr>
          <w:sz w:val="26"/>
          <w:szCs w:val="26"/>
        </w:rPr>
        <w:t xml:space="preserve"> Minh</w:t>
      </w:r>
    </w:p>
    <w:p w14:paraId="0C57CBE0" w14:textId="062F72E1" w:rsidR="008E3C67" w:rsidRPr="00DA5BA0" w:rsidRDefault="00CF2BF2" w:rsidP="008F13DE">
      <w:pPr>
        <w:spacing w:before="120" w:after="120"/>
        <w:ind w:left="284"/>
        <w:jc w:val="both"/>
        <w:rPr>
          <w:sz w:val="26"/>
          <w:szCs w:val="26"/>
        </w:rPr>
      </w:pPr>
      <w:r w:rsidRPr="00DA5BA0">
        <w:rPr>
          <w:sz w:val="26"/>
          <w:szCs w:val="26"/>
        </w:rPr>
        <w:t xml:space="preserve">Theo </w:t>
      </w:r>
      <w:proofErr w:type="spellStart"/>
      <w:r w:rsidRPr="00DA5BA0">
        <w:rPr>
          <w:sz w:val="26"/>
          <w:szCs w:val="26"/>
        </w:rPr>
        <w:t>công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văn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mời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chào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giá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số</w:t>
      </w:r>
      <w:proofErr w:type="spellEnd"/>
      <w:r w:rsidRPr="00DA5BA0">
        <w:rPr>
          <w:sz w:val="26"/>
          <w:szCs w:val="26"/>
        </w:rPr>
        <w:t xml:space="preserve"> …</w:t>
      </w:r>
      <w:proofErr w:type="gramStart"/>
      <w:r w:rsidRPr="00DA5BA0">
        <w:rPr>
          <w:sz w:val="26"/>
          <w:szCs w:val="26"/>
        </w:rPr>
        <w:t>…..</w:t>
      </w:r>
      <w:proofErr w:type="gramEnd"/>
      <w:r w:rsidRPr="00DA5BA0">
        <w:rPr>
          <w:sz w:val="26"/>
          <w:szCs w:val="26"/>
        </w:rPr>
        <w:t>/BVĐHYD-</w:t>
      </w:r>
      <w:r w:rsidR="003A2FED" w:rsidRPr="00DA5BA0">
        <w:rPr>
          <w:sz w:val="26"/>
          <w:szCs w:val="26"/>
        </w:rPr>
        <w:t>QTTN</w:t>
      </w:r>
      <w:r w:rsidR="007B0443" w:rsidRPr="00DA5BA0">
        <w:rPr>
          <w:sz w:val="26"/>
          <w:szCs w:val="26"/>
        </w:rPr>
        <w:t xml:space="preserve"> </w:t>
      </w:r>
      <w:proofErr w:type="spellStart"/>
      <w:r w:rsidR="007B0443" w:rsidRPr="00DA5BA0">
        <w:rPr>
          <w:sz w:val="26"/>
          <w:szCs w:val="26"/>
        </w:rPr>
        <w:t>ngày</w:t>
      </w:r>
      <w:proofErr w:type="spellEnd"/>
      <w:r w:rsidR="007B0443" w:rsidRPr="00DA5BA0">
        <w:rPr>
          <w:sz w:val="26"/>
          <w:szCs w:val="26"/>
        </w:rPr>
        <w:t xml:space="preserve"> ...../…../202</w:t>
      </w:r>
      <w:r w:rsidR="00551E66">
        <w:rPr>
          <w:sz w:val="26"/>
          <w:szCs w:val="26"/>
        </w:rPr>
        <w:t>5</w:t>
      </w:r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của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Bệnh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viện</w:t>
      </w:r>
      <w:proofErr w:type="spellEnd"/>
      <w:r w:rsidRPr="00DA5BA0">
        <w:rPr>
          <w:sz w:val="26"/>
          <w:szCs w:val="26"/>
        </w:rPr>
        <w:t xml:space="preserve">, </w:t>
      </w:r>
      <w:proofErr w:type="spellStart"/>
      <w:r w:rsidRPr="00DA5BA0">
        <w:rPr>
          <w:sz w:val="26"/>
          <w:szCs w:val="26"/>
        </w:rPr>
        <w:t>Công</w:t>
      </w:r>
      <w:proofErr w:type="spellEnd"/>
      <w:r w:rsidRPr="00DA5BA0">
        <w:rPr>
          <w:sz w:val="26"/>
          <w:szCs w:val="26"/>
        </w:rPr>
        <w:t xml:space="preserve"> ty </w:t>
      </w:r>
      <w:proofErr w:type="spellStart"/>
      <w:r w:rsidRPr="00DA5BA0">
        <w:rPr>
          <w:sz w:val="26"/>
          <w:szCs w:val="26"/>
        </w:rPr>
        <w:t>chúng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tôi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báo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giá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như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sau</w:t>
      </w:r>
      <w:proofErr w:type="spellEnd"/>
      <w:r w:rsidRPr="00DA5BA0">
        <w:rPr>
          <w:sz w:val="26"/>
          <w:szCs w:val="26"/>
        </w:rPr>
        <w:t>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877"/>
        <w:gridCol w:w="5562"/>
        <w:gridCol w:w="830"/>
        <w:gridCol w:w="772"/>
        <w:gridCol w:w="775"/>
        <w:gridCol w:w="1008"/>
        <w:gridCol w:w="658"/>
        <w:gridCol w:w="772"/>
        <w:gridCol w:w="1104"/>
        <w:gridCol w:w="1290"/>
        <w:gridCol w:w="518"/>
      </w:tblGrid>
      <w:tr w:rsidR="00DA5BA0" w:rsidRPr="00DA5BA0" w14:paraId="33BC7B44" w14:textId="77777777" w:rsidTr="008F13DE">
        <w:trPr>
          <w:tblHeader/>
        </w:trPr>
        <w:tc>
          <w:tcPr>
            <w:tcW w:w="136" w:type="pct"/>
            <w:vAlign w:val="center"/>
          </w:tcPr>
          <w:p w14:paraId="1EA3BA04" w14:textId="33DB8BBD" w:rsidR="007B0443" w:rsidRPr="00DA5BA0" w:rsidRDefault="008255F0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01" w:type="pct"/>
            <w:vAlign w:val="center"/>
          </w:tcPr>
          <w:p w14:paraId="0A23E544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910" w:type="pct"/>
            <w:vAlign w:val="center"/>
          </w:tcPr>
          <w:p w14:paraId="1E1F0735" w14:textId="77777777" w:rsidR="007B0443" w:rsidRPr="00DA5BA0" w:rsidRDefault="007B0443" w:rsidP="0010315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cầu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85" w:type="pct"/>
            <w:vAlign w:val="center"/>
          </w:tcPr>
          <w:p w14:paraId="4AC8505D" w14:textId="26AD5AA8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 xml:space="preserve">Model,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mã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265" w:type="pct"/>
            <w:vAlign w:val="center"/>
          </w:tcPr>
          <w:p w14:paraId="27643F81" w14:textId="4E8476A4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266" w:type="pct"/>
            <w:vAlign w:val="center"/>
          </w:tcPr>
          <w:p w14:paraId="4BE4FF62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46" w:type="pct"/>
            <w:vAlign w:val="center"/>
          </w:tcPr>
          <w:p w14:paraId="2B2627AF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Quy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cách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đóng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226" w:type="pct"/>
            <w:vAlign w:val="center"/>
          </w:tcPr>
          <w:p w14:paraId="71CD34E5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265" w:type="pct"/>
            <w:vAlign w:val="center"/>
          </w:tcPr>
          <w:p w14:paraId="68732A9A" w14:textId="77777777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79" w:type="pct"/>
            <w:vAlign w:val="center"/>
          </w:tcPr>
          <w:p w14:paraId="25364810" w14:textId="4EA4026B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sz w:val="26"/>
                <w:szCs w:val="26"/>
              </w:rPr>
              <w:t>Đơn</w:t>
            </w:r>
            <w:proofErr w:type="spellEnd"/>
            <w:r w:rsidRPr="00DA5B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sz w:val="26"/>
                <w:szCs w:val="26"/>
              </w:rPr>
              <w:t>giá</w:t>
            </w:r>
            <w:proofErr w:type="spellEnd"/>
            <w:r w:rsidRPr="00DA5BA0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DA5BA0">
              <w:rPr>
                <w:b/>
                <w:sz w:val="26"/>
                <w:szCs w:val="26"/>
              </w:rPr>
              <w:t>có</w:t>
            </w:r>
            <w:proofErr w:type="spellEnd"/>
            <w:r w:rsidRPr="00DA5BA0">
              <w:rPr>
                <w:b/>
                <w:sz w:val="26"/>
                <w:szCs w:val="26"/>
              </w:rPr>
              <w:t xml:space="preserve"> VAT) (VND)</w:t>
            </w:r>
          </w:p>
        </w:tc>
        <w:tc>
          <w:tcPr>
            <w:tcW w:w="443" w:type="pct"/>
            <w:vAlign w:val="center"/>
          </w:tcPr>
          <w:p w14:paraId="1D8CDDC7" w14:textId="04FD9286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sz w:val="26"/>
                <w:szCs w:val="26"/>
              </w:rPr>
              <w:t>Thành</w:t>
            </w:r>
            <w:proofErr w:type="spellEnd"/>
            <w:r w:rsidRPr="00DA5B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sz w:val="26"/>
                <w:szCs w:val="26"/>
              </w:rPr>
              <w:t>tiền</w:t>
            </w:r>
            <w:proofErr w:type="spellEnd"/>
            <w:r w:rsidRPr="00DA5B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sz w:val="26"/>
                <w:szCs w:val="26"/>
              </w:rPr>
              <w:t>có</w:t>
            </w:r>
            <w:proofErr w:type="spellEnd"/>
            <w:r w:rsidRPr="00DA5BA0">
              <w:rPr>
                <w:b/>
                <w:sz w:val="26"/>
                <w:szCs w:val="26"/>
              </w:rPr>
              <w:t xml:space="preserve"> VAT (VND)</w:t>
            </w:r>
          </w:p>
        </w:tc>
        <w:tc>
          <w:tcPr>
            <w:tcW w:w="178" w:type="pct"/>
            <w:vAlign w:val="center"/>
          </w:tcPr>
          <w:p w14:paraId="2E7759CB" w14:textId="2CADAB2E" w:rsidR="007B0443" w:rsidRPr="00DA5BA0" w:rsidRDefault="007B0443" w:rsidP="008F13D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A5BA0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DA5BA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73743F" w:rsidRPr="00DA5BA0" w14:paraId="13E19B97" w14:textId="77777777" w:rsidTr="00C07AA1">
        <w:trPr>
          <w:trHeight w:val="3640"/>
        </w:trPr>
        <w:tc>
          <w:tcPr>
            <w:tcW w:w="136" w:type="pct"/>
            <w:vAlign w:val="center"/>
          </w:tcPr>
          <w:p w14:paraId="60D1B438" w14:textId="653F8BEB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sz w:val="26"/>
                <w:szCs w:val="26"/>
              </w:rPr>
              <w:t>1</w:t>
            </w:r>
          </w:p>
        </w:tc>
        <w:tc>
          <w:tcPr>
            <w:tcW w:w="301" w:type="pct"/>
            <w:vAlign w:val="center"/>
          </w:tcPr>
          <w:p w14:paraId="67FBC459" w14:textId="0DE16A80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B6C83">
              <w:rPr>
                <w:sz w:val="26"/>
                <w:szCs w:val="26"/>
              </w:rPr>
              <w:t>Vách</w:t>
            </w:r>
            <w:proofErr w:type="spellEnd"/>
            <w:r w:rsidRPr="00BB6C83">
              <w:rPr>
                <w:sz w:val="26"/>
                <w:szCs w:val="26"/>
              </w:rPr>
              <w:t xml:space="preserve"> </w:t>
            </w:r>
            <w:proofErr w:type="spellStart"/>
            <w:r w:rsidRPr="00BB6C83">
              <w:rPr>
                <w:sz w:val="26"/>
                <w:szCs w:val="26"/>
              </w:rPr>
              <w:t>ốp</w:t>
            </w:r>
            <w:proofErr w:type="spellEnd"/>
            <w:r w:rsidRPr="00BB6C83">
              <w:rPr>
                <w:sz w:val="26"/>
                <w:szCs w:val="26"/>
              </w:rPr>
              <w:t xml:space="preserve"> </w:t>
            </w:r>
            <w:proofErr w:type="spellStart"/>
            <w:r w:rsidRPr="00BB6C83">
              <w:rPr>
                <w:sz w:val="26"/>
                <w:szCs w:val="26"/>
              </w:rPr>
              <w:t>gỗ</w:t>
            </w:r>
            <w:proofErr w:type="spellEnd"/>
          </w:p>
        </w:tc>
        <w:tc>
          <w:tcPr>
            <w:tcW w:w="1910" w:type="pct"/>
            <w:vAlign w:val="center"/>
          </w:tcPr>
          <w:p w14:paraId="5DD5CD28" w14:textId="77777777" w:rsidR="0073743F" w:rsidRDefault="0073743F" w:rsidP="007374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vách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ốp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gỗ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14:paraId="6E2C5244" w14:textId="77777777" w:rsidR="0073743F" w:rsidRPr="008728DB" w:rsidRDefault="0073743F" w:rsidP="007374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3040C">
              <w:rPr>
                <w:sz w:val="26"/>
                <w:szCs w:val="26"/>
              </w:rPr>
              <w:t>kỹ</w:t>
            </w:r>
            <w:proofErr w:type="spellEnd"/>
            <w:r w:rsidRPr="00B3040C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thuật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của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vách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ốp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gỗ</w:t>
            </w:r>
            <w:proofErr w:type="spellEnd"/>
            <w:r w:rsidRPr="008728DB">
              <w:rPr>
                <w:sz w:val="26"/>
                <w:szCs w:val="26"/>
              </w:rPr>
              <w:t xml:space="preserve">: </w:t>
            </w:r>
          </w:p>
          <w:p w14:paraId="355CF9A2" w14:textId="77777777" w:rsidR="0073743F" w:rsidRPr="008728DB" w:rsidRDefault="0073743F" w:rsidP="007374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8728DB">
              <w:rPr>
                <w:sz w:val="26"/>
                <w:szCs w:val="26"/>
              </w:rPr>
              <w:t xml:space="preserve"> + </w:t>
            </w:r>
            <w:proofErr w:type="spellStart"/>
            <w:r w:rsidRPr="008728DB">
              <w:rPr>
                <w:sz w:val="26"/>
                <w:szCs w:val="26"/>
              </w:rPr>
              <w:t>Kích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thước</w:t>
            </w:r>
            <w:proofErr w:type="spellEnd"/>
            <w:r w:rsidRPr="008728DB">
              <w:rPr>
                <w:sz w:val="26"/>
                <w:szCs w:val="26"/>
              </w:rPr>
              <w:t xml:space="preserve">: </w:t>
            </w:r>
            <w:proofErr w:type="spellStart"/>
            <w:r w:rsidRPr="008728DB">
              <w:rPr>
                <w:sz w:val="26"/>
                <w:szCs w:val="26"/>
              </w:rPr>
              <w:t>theo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bản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vẽ</w:t>
            </w:r>
            <w:proofErr w:type="spellEnd"/>
            <w:r w:rsidRPr="008728DB">
              <w:rPr>
                <w:sz w:val="26"/>
                <w:szCs w:val="26"/>
              </w:rPr>
              <w:t>;</w:t>
            </w:r>
          </w:p>
          <w:p w14:paraId="4AE18A4D" w14:textId="77777777" w:rsidR="0073743F" w:rsidRPr="008728DB" w:rsidRDefault="0073743F" w:rsidP="007374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8728DB">
              <w:rPr>
                <w:sz w:val="26"/>
                <w:szCs w:val="26"/>
              </w:rPr>
              <w:t xml:space="preserve"> + </w:t>
            </w:r>
            <w:proofErr w:type="spellStart"/>
            <w:r w:rsidRPr="008728DB">
              <w:rPr>
                <w:sz w:val="26"/>
                <w:szCs w:val="26"/>
              </w:rPr>
              <w:t>Chất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liệu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lớp</w:t>
            </w:r>
            <w:proofErr w:type="spellEnd"/>
            <w:r w:rsidRPr="008728DB">
              <w:rPr>
                <w:sz w:val="26"/>
                <w:szCs w:val="26"/>
              </w:rPr>
              <w:t xml:space="preserve"> 1: </w:t>
            </w:r>
            <w:proofErr w:type="spellStart"/>
            <w:r w:rsidRPr="008728DB">
              <w:rPr>
                <w:sz w:val="26"/>
                <w:szCs w:val="26"/>
              </w:rPr>
              <w:t>gỗ</w:t>
            </w:r>
            <w:proofErr w:type="spellEnd"/>
            <w:r w:rsidRPr="008728DB">
              <w:rPr>
                <w:sz w:val="26"/>
                <w:szCs w:val="26"/>
              </w:rPr>
              <w:t xml:space="preserve"> MDF </w:t>
            </w:r>
            <w:proofErr w:type="spellStart"/>
            <w:r w:rsidRPr="008728DB">
              <w:rPr>
                <w:sz w:val="26"/>
                <w:szCs w:val="26"/>
              </w:rPr>
              <w:t>chống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ẩm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chiều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dày</w:t>
            </w:r>
            <w:proofErr w:type="spellEnd"/>
            <w:r w:rsidRPr="008728DB">
              <w:rPr>
                <w:sz w:val="26"/>
                <w:szCs w:val="26"/>
              </w:rPr>
              <w:t xml:space="preserve"> ≥ 9 mm;</w:t>
            </w:r>
          </w:p>
          <w:p w14:paraId="49838CA1" w14:textId="77777777" w:rsidR="0073743F" w:rsidRPr="008728DB" w:rsidRDefault="0073743F" w:rsidP="007374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8728DB">
              <w:rPr>
                <w:sz w:val="26"/>
                <w:szCs w:val="26"/>
              </w:rPr>
              <w:t xml:space="preserve"> + </w:t>
            </w:r>
            <w:proofErr w:type="spellStart"/>
            <w:r w:rsidRPr="008728DB">
              <w:rPr>
                <w:sz w:val="26"/>
                <w:szCs w:val="26"/>
              </w:rPr>
              <w:t>Chất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liệu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lớp</w:t>
            </w:r>
            <w:proofErr w:type="spellEnd"/>
            <w:r w:rsidRPr="008728DB">
              <w:rPr>
                <w:sz w:val="26"/>
                <w:szCs w:val="26"/>
              </w:rPr>
              <w:t xml:space="preserve"> 2: </w:t>
            </w:r>
            <w:proofErr w:type="spellStart"/>
            <w:r w:rsidRPr="008728DB">
              <w:rPr>
                <w:sz w:val="26"/>
                <w:szCs w:val="26"/>
              </w:rPr>
              <w:t>gỗ</w:t>
            </w:r>
            <w:proofErr w:type="spellEnd"/>
            <w:r w:rsidRPr="008728DB">
              <w:rPr>
                <w:sz w:val="26"/>
                <w:szCs w:val="26"/>
              </w:rPr>
              <w:t xml:space="preserve"> MDF </w:t>
            </w:r>
            <w:proofErr w:type="spellStart"/>
            <w:r w:rsidRPr="008728DB">
              <w:rPr>
                <w:sz w:val="26"/>
                <w:szCs w:val="26"/>
              </w:rPr>
              <w:t>chống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ẩm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chiều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dày</w:t>
            </w:r>
            <w:proofErr w:type="spellEnd"/>
            <w:r w:rsidRPr="008728DB">
              <w:rPr>
                <w:sz w:val="26"/>
                <w:szCs w:val="26"/>
              </w:rPr>
              <w:t xml:space="preserve"> ≥ 9 mm </w:t>
            </w:r>
            <w:proofErr w:type="spellStart"/>
            <w:r w:rsidRPr="008728DB">
              <w:rPr>
                <w:sz w:val="26"/>
                <w:szCs w:val="26"/>
              </w:rPr>
              <w:t>được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phủ</w:t>
            </w:r>
            <w:proofErr w:type="spellEnd"/>
            <w:r w:rsidRPr="008728DB">
              <w:rPr>
                <w:sz w:val="26"/>
                <w:szCs w:val="26"/>
              </w:rPr>
              <w:t xml:space="preserve"> melamine 01 </w:t>
            </w:r>
            <w:proofErr w:type="spellStart"/>
            <w:r w:rsidRPr="008728DB">
              <w:rPr>
                <w:sz w:val="26"/>
                <w:szCs w:val="26"/>
              </w:rPr>
              <w:t>mặt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hoàn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thiện</w:t>
            </w:r>
            <w:proofErr w:type="spellEnd"/>
            <w:r w:rsidRPr="008728DB">
              <w:rPr>
                <w:sz w:val="26"/>
                <w:szCs w:val="26"/>
              </w:rPr>
              <w:t>;</w:t>
            </w:r>
          </w:p>
          <w:p w14:paraId="56B6E277" w14:textId="77777777" w:rsidR="0073743F" w:rsidRPr="008728DB" w:rsidRDefault="0073743F" w:rsidP="007374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8728DB">
              <w:rPr>
                <w:sz w:val="26"/>
                <w:szCs w:val="26"/>
              </w:rPr>
              <w:t xml:space="preserve"> + </w:t>
            </w:r>
            <w:proofErr w:type="spellStart"/>
            <w:r w:rsidRPr="008728DB">
              <w:rPr>
                <w:sz w:val="26"/>
                <w:szCs w:val="26"/>
              </w:rPr>
              <w:t>Hàm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lượng</w:t>
            </w:r>
            <w:proofErr w:type="spellEnd"/>
            <w:r w:rsidRPr="008728DB">
              <w:rPr>
                <w:sz w:val="26"/>
                <w:szCs w:val="26"/>
              </w:rPr>
              <w:t xml:space="preserve"> formaldehyde: ≤ 0,124 mg/m</w:t>
            </w:r>
            <w:r w:rsidRPr="00BA4F39"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.</w:t>
            </w:r>
          </w:p>
          <w:p w14:paraId="3A8D5545" w14:textId="411AD13D" w:rsidR="0073743F" w:rsidRPr="00DA5BA0" w:rsidRDefault="0073743F" w:rsidP="0073743F">
            <w:pPr>
              <w:tabs>
                <w:tab w:val="left" w:pos="5359"/>
              </w:tabs>
              <w:spacing w:before="60" w:after="60" w:line="264" w:lineRule="auto"/>
              <w:ind w:right="147"/>
              <w:jc w:val="both"/>
              <w:rPr>
                <w:sz w:val="26"/>
                <w:szCs w:val="26"/>
              </w:rPr>
            </w:pPr>
            <w:r w:rsidRPr="008728DB">
              <w:rPr>
                <w:sz w:val="26"/>
                <w:szCs w:val="26"/>
              </w:rPr>
              <w:t xml:space="preserve">- Chi </w:t>
            </w:r>
            <w:proofErr w:type="spellStart"/>
            <w:r w:rsidRPr="008728DB">
              <w:rPr>
                <w:sz w:val="26"/>
                <w:szCs w:val="26"/>
              </w:rPr>
              <w:t>tiết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theo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bản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vẽ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đính</w:t>
            </w:r>
            <w:proofErr w:type="spellEnd"/>
            <w:r w:rsidRPr="008728DB">
              <w:rPr>
                <w:sz w:val="26"/>
                <w:szCs w:val="26"/>
              </w:rPr>
              <w:t xml:space="preserve"> </w:t>
            </w:r>
            <w:proofErr w:type="spellStart"/>
            <w:r w:rsidRPr="008728DB">
              <w:rPr>
                <w:sz w:val="26"/>
                <w:szCs w:val="26"/>
              </w:rPr>
              <w:t>kèm</w:t>
            </w:r>
            <w:proofErr w:type="spellEnd"/>
            <w:r w:rsidRPr="008728DB">
              <w:rPr>
                <w:sz w:val="26"/>
                <w:szCs w:val="26"/>
              </w:rPr>
              <w:t>.</w:t>
            </w:r>
          </w:p>
        </w:tc>
        <w:tc>
          <w:tcPr>
            <w:tcW w:w="285" w:type="pct"/>
            <w:vAlign w:val="center"/>
          </w:tcPr>
          <w:p w14:paraId="36C20FAC" w14:textId="02D117B0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14:paraId="5B0D0132" w14:textId="01BFD103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CF3BFCC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pct"/>
            <w:vAlign w:val="center"/>
          </w:tcPr>
          <w:p w14:paraId="4E11A669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" w:type="pct"/>
            <w:vAlign w:val="center"/>
          </w:tcPr>
          <w:p w14:paraId="6041A3CA" w14:textId="063B0A48" w:rsidR="0073743F" w:rsidRPr="0073743F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BB6C83">
              <w:rPr>
                <w:sz w:val="26"/>
                <w:szCs w:val="26"/>
              </w:rPr>
              <w:t>m</w:t>
            </w:r>
            <w:r w:rsidRPr="00BB6C83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5" w:type="pct"/>
            <w:vAlign w:val="center"/>
          </w:tcPr>
          <w:p w14:paraId="5F1265DE" w14:textId="6BAF598A" w:rsidR="0073743F" w:rsidRPr="0073743F" w:rsidRDefault="0073743F" w:rsidP="007374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379" w:type="pct"/>
            <w:vAlign w:val="center"/>
          </w:tcPr>
          <w:p w14:paraId="4437A0A6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14:paraId="6105D740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251AE576" w14:textId="4024DB82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3743F" w:rsidRPr="00DA5BA0" w14:paraId="52CE9453" w14:textId="77777777" w:rsidTr="00C06E67">
        <w:tc>
          <w:tcPr>
            <w:tcW w:w="136" w:type="pct"/>
            <w:vAlign w:val="center"/>
          </w:tcPr>
          <w:p w14:paraId="7AB41ADA" w14:textId="77777777" w:rsidR="0073743F" w:rsidRDefault="0073743F" w:rsidP="0073743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6A77044B" w14:textId="77777777" w:rsidR="0073743F" w:rsidRDefault="0073743F" w:rsidP="0073743F">
            <w:pPr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910" w:type="pct"/>
            <w:vAlign w:val="center"/>
          </w:tcPr>
          <w:p w14:paraId="72ECAF0C" w14:textId="6973F4DB" w:rsidR="0073743F" w:rsidRPr="001A427B" w:rsidRDefault="0073743F" w:rsidP="0073743F">
            <w:pPr>
              <w:spacing w:before="80" w:after="80" w:line="264" w:lineRule="auto"/>
              <w:ind w:firstLine="29"/>
              <w:jc w:val="center"/>
              <w:rPr>
                <w:b/>
                <w:sz w:val="26"/>
                <w:szCs w:val="26"/>
              </w:rPr>
            </w:pPr>
            <w:proofErr w:type="spellStart"/>
            <w:r w:rsidRPr="001A427B">
              <w:rPr>
                <w:b/>
                <w:sz w:val="26"/>
                <w:szCs w:val="26"/>
              </w:rPr>
              <w:t>Tổng</w:t>
            </w:r>
            <w:proofErr w:type="spellEnd"/>
            <w:r w:rsidRPr="001A427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A427B"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285" w:type="pct"/>
            <w:vAlign w:val="center"/>
          </w:tcPr>
          <w:p w14:paraId="7D045E96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14:paraId="2BAD8AD1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3BB3442D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pct"/>
            <w:vAlign w:val="center"/>
          </w:tcPr>
          <w:p w14:paraId="674B3A6D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" w:type="pct"/>
            <w:vAlign w:val="center"/>
          </w:tcPr>
          <w:p w14:paraId="4C0D5DC2" w14:textId="77777777" w:rsidR="0073743F" w:rsidRPr="00DD0CBB" w:rsidRDefault="0073743F" w:rsidP="0073743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14:paraId="37D2C67A" w14:textId="77777777" w:rsidR="0073743F" w:rsidRDefault="0073743F" w:rsidP="0073743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vAlign w:val="center"/>
          </w:tcPr>
          <w:p w14:paraId="2C14F87C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14:paraId="3B8D6F6F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3BF8CC9E" w14:textId="77777777" w:rsidR="0073743F" w:rsidRPr="00DA5BA0" w:rsidRDefault="0073743F" w:rsidP="0073743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B248AD6" w14:textId="5F91DE14" w:rsidR="007D474C" w:rsidRPr="00DA5BA0" w:rsidRDefault="00197781" w:rsidP="008F13DE">
      <w:pPr>
        <w:pStyle w:val="ListParagraph"/>
        <w:numPr>
          <w:ilvl w:val="0"/>
          <w:numId w:val="2"/>
        </w:numPr>
        <w:spacing w:before="60" w:after="60"/>
        <w:ind w:left="357" w:hanging="357"/>
        <w:contextualSpacing w:val="0"/>
        <w:rPr>
          <w:b/>
          <w:bCs/>
          <w:sz w:val="26"/>
          <w:szCs w:val="26"/>
        </w:rPr>
      </w:pPr>
      <w:proofErr w:type="spellStart"/>
      <w:r w:rsidRPr="00DA5BA0">
        <w:rPr>
          <w:b/>
          <w:bCs/>
          <w:sz w:val="26"/>
          <w:szCs w:val="26"/>
        </w:rPr>
        <w:lastRenderedPageBreak/>
        <w:t>Yêu</w:t>
      </w:r>
      <w:proofErr w:type="spellEnd"/>
      <w:r w:rsidRPr="00DA5BA0">
        <w:rPr>
          <w:b/>
          <w:bCs/>
          <w:sz w:val="26"/>
          <w:szCs w:val="26"/>
        </w:rPr>
        <w:t xml:space="preserve"> </w:t>
      </w:r>
      <w:proofErr w:type="spellStart"/>
      <w:r w:rsidRPr="00DA5BA0">
        <w:rPr>
          <w:b/>
          <w:bCs/>
          <w:sz w:val="26"/>
          <w:szCs w:val="26"/>
        </w:rPr>
        <w:t>cầu</w:t>
      </w:r>
      <w:proofErr w:type="spellEnd"/>
      <w:r w:rsidRPr="00DA5BA0">
        <w:rPr>
          <w:b/>
          <w:bCs/>
          <w:sz w:val="26"/>
          <w:szCs w:val="26"/>
        </w:rPr>
        <w:t xml:space="preserve"> </w:t>
      </w:r>
      <w:proofErr w:type="spellStart"/>
      <w:r w:rsidRPr="00DA5BA0">
        <w:rPr>
          <w:b/>
          <w:bCs/>
          <w:sz w:val="26"/>
          <w:szCs w:val="26"/>
        </w:rPr>
        <w:t>báo</w:t>
      </w:r>
      <w:proofErr w:type="spellEnd"/>
      <w:r w:rsidRPr="00DA5BA0">
        <w:rPr>
          <w:b/>
          <w:bCs/>
          <w:sz w:val="26"/>
          <w:szCs w:val="26"/>
        </w:rPr>
        <w:t xml:space="preserve"> </w:t>
      </w:r>
      <w:proofErr w:type="spellStart"/>
      <w:r w:rsidRPr="00DA5BA0">
        <w:rPr>
          <w:b/>
          <w:bCs/>
          <w:sz w:val="26"/>
          <w:szCs w:val="26"/>
        </w:rPr>
        <w:t>giá</w:t>
      </w:r>
      <w:proofErr w:type="spellEnd"/>
      <w:r w:rsidRPr="00DA5BA0">
        <w:rPr>
          <w:b/>
          <w:bCs/>
          <w:sz w:val="26"/>
          <w:szCs w:val="26"/>
        </w:rPr>
        <w:t>:</w:t>
      </w:r>
    </w:p>
    <w:p w14:paraId="4D2C99A5" w14:textId="77777777" w:rsidR="007D474C" w:rsidRPr="00DA5BA0" w:rsidRDefault="007D474C" w:rsidP="008F13DE">
      <w:pPr>
        <w:spacing w:before="60" w:after="60"/>
        <w:ind w:firstLine="360"/>
        <w:jc w:val="both"/>
        <w:rPr>
          <w:sz w:val="26"/>
          <w:szCs w:val="26"/>
        </w:rPr>
      </w:pPr>
      <w:r w:rsidRPr="00DA5BA0">
        <w:rPr>
          <w:sz w:val="26"/>
          <w:szCs w:val="26"/>
        </w:rPr>
        <w:t xml:space="preserve">- </w:t>
      </w:r>
      <w:proofErr w:type="spellStart"/>
      <w:r w:rsidRPr="00DA5BA0">
        <w:rPr>
          <w:sz w:val="26"/>
          <w:szCs w:val="26"/>
        </w:rPr>
        <w:t>Báo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giá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này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có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hiệu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lực</w:t>
      </w:r>
      <w:proofErr w:type="spellEnd"/>
      <w:r w:rsidRPr="00DA5BA0">
        <w:rPr>
          <w:sz w:val="26"/>
          <w:szCs w:val="26"/>
        </w:rPr>
        <w:t xml:space="preserve"> …..</w:t>
      </w:r>
      <w:r w:rsidRPr="00DA5BA0">
        <w:rPr>
          <w:sz w:val="26"/>
          <w:szCs w:val="26"/>
          <w:vertAlign w:val="superscript"/>
        </w:rPr>
        <w:t>(</w:t>
      </w:r>
      <w:r w:rsidRPr="00DA5BA0">
        <w:rPr>
          <w:rStyle w:val="FootnoteReference"/>
          <w:sz w:val="26"/>
          <w:szCs w:val="26"/>
          <w:vertAlign w:val="superscript"/>
        </w:rPr>
        <w:footnoteReference w:id="1"/>
      </w:r>
      <w:r w:rsidRPr="00DA5BA0">
        <w:rPr>
          <w:sz w:val="26"/>
          <w:szCs w:val="26"/>
          <w:vertAlign w:val="superscript"/>
        </w:rPr>
        <w:t>)</w:t>
      </w:r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ngày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kể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từ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ngày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báo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giá</w:t>
      </w:r>
      <w:proofErr w:type="spellEnd"/>
      <w:r w:rsidRPr="00DA5BA0">
        <w:rPr>
          <w:sz w:val="26"/>
          <w:szCs w:val="26"/>
        </w:rPr>
        <w:t>;</w:t>
      </w:r>
    </w:p>
    <w:p w14:paraId="6BD06EB5" w14:textId="242C0E7E" w:rsidR="000C3CBC" w:rsidRPr="00DA5BA0" w:rsidRDefault="000C3CBC" w:rsidP="008F13DE">
      <w:pPr>
        <w:spacing w:before="60" w:after="60"/>
        <w:ind w:firstLine="360"/>
        <w:jc w:val="both"/>
        <w:rPr>
          <w:sz w:val="26"/>
          <w:szCs w:val="26"/>
        </w:rPr>
      </w:pPr>
      <w:r w:rsidRPr="00DA5BA0">
        <w:rPr>
          <w:sz w:val="26"/>
          <w:szCs w:val="26"/>
        </w:rPr>
        <w:t xml:space="preserve">- </w:t>
      </w:r>
      <w:proofErr w:type="spellStart"/>
      <w:r w:rsidRPr="00DA5BA0">
        <w:rPr>
          <w:sz w:val="26"/>
          <w:szCs w:val="26"/>
        </w:rPr>
        <w:t>Thời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gian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bảo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hành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tối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thiểu</w:t>
      </w:r>
      <w:proofErr w:type="spellEnd"/>
      <w:r w:rsidRPr="00DA5BA0">
        <w:rPr>
          <w:sz w:val="26"/>
          <w:szCs w:val="26"/>
        </w:rPr>
        <w:t xml:space="preserve"> 12 </w:t>
      </w:r>
      <w:proofErr w:type="spellStart"/>
      <w:r w:rsidRPr="00DA5BA0">
        <w:rPr>
          <w:sz w:val="26"/>
          <w:szCs w:val="26"/>
        </w:rPr>
        <w:t>tháng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kể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từ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ngày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hàng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hóa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được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nghiệm</w:t>
      </w:r>
      <w:proofErr w:type="spellEnd"/>
      <w:r w:rsidRPr="00DA5BA0">
        <w:rPr>
          <w:sz w:val="26"/>
          <w:szCs w:val="26"/>
        </w:rPr>
        <w:t xml:space="preserve"> </w:t>
      </w:r>
      <w:proofErr w:type="spellStart"/>
      <w:r w:rsidRPr="00DA5BA0">
        <w:rPr>
          <w:sz w:val="26"/>
          <w:szCs w:val="26"/>
        </w:rPr>
        <w:t>thu</w:t>
      </w:r>
      <w:proofErr w:type="spellEnd"/>
      <w:r w:rsidRPr="00DA5BA0">
        <w:rPr>
          <w:sz w:val="26"/>
          <w:szCs w:val="26"/>
        </w:rPr>
        <w:t>;</w:t>
      </w:r>
    </w:p>
    <w:p w14:paraId="5CB435E7" w14:textId="77777777" w:rsidR="00D23454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 xml:space="preserve">- </w:t>
      </w:r>
      <w:proofErr w:type="spellStart"/>
      <w:r w:rsidRPr="00854FEC">
        <w:rPr>
          <w:sz w:val="26"/>
          <w:szCs w:val="26"/>
        </w:rPr>
        <w:t>Hàng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hóa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cung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cấp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mới</w:t>
      </w:r>
      <w:proofErr w:type="spellEnd"/>
      <w:r w:rsidRPr="00854FEC">
        <w:rPr>
          <w:sz w:val="26"/>
          <w:szCs w:val="26"/>
        </w:rPr>
        <w:t xml:space="preserve"> 100%, </w:t>
      </w:r>
      <w:proofErr w:type="spellStart"/>
      <w:r w:rsidRPr="00854FEC">
        <w:rPr>
          <w:sz w:val="26"/>
          <w:szCs w:val="26"/>
        </w:rPr>
        <w:t>sản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xuất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từ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năm</w:t>
      </w:r>
      <w:proofErr w:type="spellEnd"/>
      <w:r w:rsidRPr="00854FEC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trở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về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sau</w:t>
      </w:r>
      <w:proofErr w:type="spellEnd"/>
      <w:r w:rsidRPr="00854FEC">
        <w:rPr>
          <w:sz w:val="26"/>
          <w:szCs w:val="26"/>
        </w:rPr>
        <w:t>;</w:t>
      </w:r>
    </w:p>
    <w:p w14:paraId="0884D4A2" w14:textId="77777777" w:rsidR="00D23454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nguồn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8482D">
        <w:rPr>
          <w:sz w:val="26"/>
          <w:szCs w:val="26"/>
        </w:rPr>
        <w:t>gốc</w:t>
      </w:r>
      <w:proofErr w:type="spellEnd"/>
      <w:r w:rsidRPr="0008482D">
        <w:rPr>
          <w:sz w:val="26"/>
          <w:szCs w:val="26"/>
        </w:rPr>
        <w:t xml:space="preserve"> </w:t>
      </w:r>
      <w:proofErr w:type="spellStart"/>
      <w:r w:rsidRPr="0008482D">
        <w:rPr>
          <w:sz w:val="26"/>
          <w:szCs w:val="26"/>
        </w:rPr>
        <w:t>xuất</w:t>
      </w:r>
      <w:proofErr w:type="spellEnd"/>
      <w:r w:rsidRPr="0008482D">
        <w:rPr>
          <w:sz w:val="26"/>
          <w:szCs w:val="26"/>
        </w:rPr>
        <w:t xml:space="preserve"> </w:t>
      </w:r>
      <w:proofErr w:type="spellStart"/>
      <w:r w:rsidRPr="0008482D">
        <w:rPr>
          <w:sz w:val="26"/>
          <w:szCs w:val="26"/>
        </w:rPr>
        <w:t>xứ</w:t>
      </w:r>
      <w:proofErr w:type="spellEnd"/>
      <w:r w:rsidRPr="0008482D">
        <w:rPr>
          <w:sz w:val="26"/>
          <w:szCs w:val="26"/>
        </w:rPr>
        <w:t xml:space="preserve"> </w:t>
      </w:r>
      <w:proofErr w:type="spellStart"/>
      <w:r w:rsidRPr="0008482D">
        <w:rPr>
          <w:sz w:val="26"/>
          <w:szCs w:val="26"/>
        </w:rPr>
        <w:t>rõ</w:t>
      </w:r>
      <w:proofErr w:type="spellEnd"/>
      <w:r w:rsidRPr="0008482D">
        <w:rPr>
          <w:sz w:val="26"/>
          <w:szCs w:val="26"/>
        </w:rPr>
        <w:t xml:space="preserve"> </w:t>
      </w:r>
      <w:proofErr w:type="spellStart"/>
      <w:r w:rsidRPr="0008482D">
        <w:rPr>
          <w:sz w:val="26"/>
          <w:szCs w:val="26"/>
        </w:rPr>
        <w:t>ràng</w:t>
      </w:r>
      <w:proofErr w:type="spellEnd"/>
      <w:r w:rsidRPr="0008482D">
        <w:rPr>
          <w:sz w:val="26"/>
          <w:szCs w:val="26"/>
        </w:rPr>
        <w:t>;</w:t>
      </w:r>
    </w:p>
    <w:p w14:paraId="6ADE0C09" w14:textId="77777777" w:rsidR="00D23454" w:rsidRPr="00BB6C83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BF3E24">
        <w:rPr>
          <w:sz w:val="26"/>
          <w:szCs w:val="26"/>
        </w:rPr>
        <w:t>Hàng</w:t>
      </w:r>
      <w:proofErr w:type="spellEnd"/>
      <w:r w:rsidRPr="00BF3E24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hóa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giao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phải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còn</w:t>
      </w:r>
      <w:proofErr w:type="spellEnd"/>
      <w:r w:rsidRPr="00BB6C83">
        <w:rPr>
          <w:sz w:val="26"/>
          <w:szCs w:val="26"/>
        </w:rPr>
        <w:t xml:space="preserve"> “</w:t>
      </w:r>
      <w:proofErr w:type="spellStart"/>
      <w:r w:rsidRPr="00BB6C83">
        <w:rPr>
          <w:sz w:val="26"/>
          <w:szCs w:val="26"/>
        </w:rPr>
        <w:t>nguyên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đai</w:t>
      </w:r>
      <w:proofErr w:type="spellEnd"/>
      <w:r w:rsidRPr="00BB6C83">
        <w:rPr>
          <w:sz w:val="26"/>
          <w:szCs w:val="26"/>
        </w:rPr>
        <w:t xml:space="preserve">, </w:t>
      </w:r>
      <w:proofErr w:type="spellStart"/>
      <w:r w:rsidRPr="00BB6C83">
        <w:rPr>
          <w:sz w:val="26"/>
          <w:szCs w:val="26"/>
        </w:rPr>
        <w:t>nguyên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kiện</w:t>
      </w:r>
      <w:proofErr w:type="spellEnd"/>
      <w:r w:rsidRPr="00BB6C83">
        <w:rPr>
          <w:sz w:val="26"/>
          <w:szCs w:val="26"/>
        </w:rPr>
        <w:t xml:space="preserve">”, </w:t>
      </w:r>
      <w:proofErr w:type="spellStart"/>
      <w:r w:rsidRPr="00BB6C83">
        <w:rPr>
          <w:sz w:val="26"/>
          <w:szCs w:val="26"/>
        </w:rPr>
        <w:t>bao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bì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không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bị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rách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hoặc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xé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bỏ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hoặc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bị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thấm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nước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khi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giao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hàng</w:t>
      </w:r>
      <w:proofErr w:type="spellEnd"/>
      <w:r w:rsidRPr="00BB6C83">
        <w:rPr>
          <w:sz w:val="26"/>
          <w:szCs w:val="26"/>
        </w:rPr>
        <w:t>;</w:t>
      </w:r>
    </w:p>
    <w:p w14:paraId="6380B685" w14:textId="77777777" w:rsidR="00D23454" w:rsidRPr="00BB6C83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BB6C83">
        <w:rPr>
          <w:sz w:val="26"/>
          <w:szCs w:val="26"/>
        </w:rPr>
        <w:t xml:space="preserve">- </w:t>
      </w:r>
      <w:proofErr w:type="spellStart"/>
      <w:r w:rsidRPr="00BB6C83">
        <w:rPr>
          <w:sz w:val="26"/>
          <w:szCs w:val="26"/>
        </w:rPr>
        <w:t>Màu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sắc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theo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sự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lựa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chọn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của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Chủ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đầu</w:t>
      </w:r>
      <w:proofErr w:type="spellEnd"/>
      <w:r w:rsidRPr="00BB6C83">
        <w:rPr>
          <w:sz w:val="26"/>
          <w:szCs w:val="26"/>
        </w:rPr>
        <w:t xml:space="preserve"> </w:t>
      </w:r>
      <w:proofErr w:type="spellStart"/>
      <w:r w:rsidRPr="00BB6C83">
        <w:rPr>
          <w:sz w:val="26"/>
          <w:szCs w:val="26"/>
        </w:rPr>
        <w:t>tư</w:t>
      </w:r>
      <w:proofErr w:type="spellEnd"/>
      <w:r w:rsidRPr="00BB6C83">
        <w:rPr>
          <w:sz w:val="26"/>
          <w:szCs w:val="26"/>
        </w:rPr>
        <w:t>;</w:t>
      </w:r>
    </w:p>
    <w:p w14:paraId="5BE6F2E4" w14:textId="73E074F3" w:rsidR="00D23454" w:rsidRPr="00854FEC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08482D">
        <w:rPr>
          <w:sz w:val="26"/>
          <w:szCs w:val="26"/>
        </w:rPr>
        <w:t xml:space="preserve">- </w:t>
      </w:r>
      <w:proofErr w:type="spellStart"/>
      <w:r w:rsidR="00E010A0" w:rsidRPr="00E010A0">
        <w:rPr>
          <w:sz w:val="26"/>
          <w:szCs w:val="26"/>
        </w:rPr>
        <w:t>Nhà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thầu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thực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hiện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theo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chỉ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dẫn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của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Chủ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đầu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tư</w:t>
      </w:r>
      <w:proofErr w:type="spellEnd"/>
      <w:r w:rsidR="00E010A0" w:rsidRPr="00E010A0">
        <w:rPr>
          <w:sz w:val="26"/>
          <w:szCs w:val="26"/>
        </w:rPr>
        <w:t xml:space="preserve">, </w:t>
      </w:r>
      <w:proofErr w:type="spellStart"/>
      <w:r w:rsidR="00E010A0" w:rsidRPr="00E010A0">
        <w:rPr>
          <w:sz w:val="26"/>
          <w:szCs w:val="26"/>
        </w:rPr>
        <w:t>có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tham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khảo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theo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bản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vẽ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đính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kèm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và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thực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tế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khảo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sát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trước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khi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thực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hiện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lắp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đặt</w:t>
      </w:r>
      <w:proofErr w:type="spellEnd"/>
      <w:r w:rsidR="00E010A0" w:rsidRPr="00E010A0">
        <w:rPr>
          <w:sz w:val="26"/>
          <w:szCs w:val="26"/>
        </w:rPr>
        <w:t xml:space="preserve">. </w:t>
      </w:r>
      <w:proofErr w:type="spellStart"/>
      <w:r w:rsidR="00E010A0" w:rsidRPr="00E010A0">
        <w:rPr>
          <w:sz w:val="26"/>
          <w:szCs w:val="26"/>
        </w:rPr>
        <w:t>Nhà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thầu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chịu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trách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nhiệm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tháo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vách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gỗ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cũ</w:t>
      </w:r>
      <w:proofErr w:type="spellEnd"/>
      <w:r w:rsidR="00E010A0" w:rsidRPr="00E010A0">
        <w:rPr>
          <w:sz w:val="26"/>
          <w:szCs w:val="26"/>
        </w:rPr>
        <w:t xml:space="preserve">, </w:t>
      </w:r>
      <w:proofErr w:type="spellStart"/>
      <w:r w:rsidR="00E010A0" w:rsidRPr="00E010A0">
        <w:rPr>
          <w:sz w:val="26"/>
          <w:szCs w:val="26"/>
        </w:rPr>
        <w:t>lắp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đặt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vách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gỗ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mới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và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tháo</w:t>
      </w:r>
      <w:proofErr w:type="spellEnd"/>
      <w:r w:rsidR="00E010A0" w:rsidRPr="00E010A0">
        <w:rPr>
          <w:sz w:val="26"/>
          <w:szCs w:val="26"/>
        </w:rPr>
        <w:t xml:space="preserve">, </w:t>
      </w:r>
      <w:proofErr w:type="spellStart"/>
      <w:r w:rsidR="00E010A0" w:rsidRPr="00E010A0">
        <w:rPr>
          <w:sz w:val="26"/>
          <w:szCs w:val="26"/>
        </w:rPr>
        <w:t>lắp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lại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các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thiết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bị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trên</w:t>
      </w:r>
      <w:proofErr w:type="spellEnd"/>
      <w:r w:rsidR="00E010A0" w:rsidRPr="00E010A0">
        <w:rPr>
          <w:sz w:val="26"/>
          <w:szCs w:val="26"/>
        </w:rPr>
        <w:t xml:space="preserve"> </w:t>
      </w:r>
      <w:proofErr w:type="spellStart"/>
      <w:r w:rsidR="00E010A0" w:rsidRPr="00E010A0">
        <w:rPr>
          <w:sz w:val="26"/>
          <w:szCs w:val="26"/>
        </w:rPr>
        <w:t>vách</w:t>
      </w:r>
      <w:bookmarkStart w:id="0" w:name="_GoBack"/>
      <w:bookmarkEnd w:id="0"/>
      <w:proofErr w:type="spellEnd"/>
      <w:r>
        <w:rPr>
          <w:sz w:val="26"/>
          <w:szCs w:val="26"/>
        </w:rPr>
        <w:t>;</w:t>
      </w:r>
    </w:p>
    <w:p w14:paraId="46010838" w14:textId="77777777" w:rsidR="00D23454" w:rsidRPr="00854FEC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 xml:space="preserve">- </w:t>
      </w:r>
      <w:proofErr w:type="spellStart"/>
      <w:r w:rsidRPr="00854FEC">
        <w:rPr>
          <w:sz w:val="26"/>
          <w:szCs w:val="26"/>
        </w:rPr>
        <w:t>Nhà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thầu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thực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hiện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đầy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đủ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các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trách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nhiệm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về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đảm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bảo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chất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lượng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hàng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hóa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theo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các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quy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định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của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pháp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luật</w:t>
      </w:r>
      <w:proofErr w:type="spellEnd"/>
      <w:r w:rsidRPr="00854FEC">
        <w:rPr>
          <w:sz w:val="26"/>
          <w:szCs w:val="26"/>
        </w:rPr>
        <w:t>;</w:t>
      </w:r>
    </w:p>
    <w:p w14:paraId="30A51BB2" w14:textId="77777777" w:rsidR="00D23454" w:rsidRPr="00854FEC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 xml:space="preserve">- </w:t>
      </w:r>
      <w:proofErr w:type="spellStart"/>
      <w:r w:rsidRPr="00854FEC">
        <w:rPr>
          <w:sz w:val="26"/>
          <w:szCs w:val="26"/>
        </w:rPr>
        <w:t>Nhà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thầu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chịu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trách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nhiệm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gom</w:t>
      </w:r>
      <w:proofErr w:type="spellEnd"/>
      <w:r w:rsidRPr="00854FEC">
        <w:rPr>
          <w:sz w:val="26"/>
          <w:szCs w:val="26"/>
        </w:rPr>
        <w:t xml:space="preserve">, </w:t>
      </w:r>
      <w:proofErr w:type="spellStart"/>
      <w:r w:rsidRPr="00854FEC">
        <w:rPr>
          <w:sz w:val="26"/>
          <w:szCs w:val="26"/>
        </w:rPr>
        <w:t>vận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chuyển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ra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khỏi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Bệnh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viện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và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mang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đổ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bỏ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rác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thải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đúng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nơi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quy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định</w:t>
      </w:r>
      <w:proofErr w:type="spellEnd"/>
      <w:r w:rsidRPr="00854FEC">
        <w:rPr>
          <w:sz w:val="26"/>
          <w:szCs w:val="26"/>
        </w:rPr>
        <w:t>;</w:t>
      </w:r>
    </w:p>
    <w:p w14:paraId="49243CDA" w14:textId="77777777" w:rsidR="00D23454" w:rsidRPr="00854FEC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 xml:space="preserve">- </w:t>
      </w:r>
      <w:proofErr w:type="spellStart"/>
      <w:r w:rsidRPr="00854FEC">
        <w:rPr>
          <w:sz w:val="26"/>
          <w:szCs w:val="26"/>
        </w:rPr>
        <w:t>Nhà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854FEC">
        <w:rPr>
          <w:sz w:val="26"/>
          <w:szCs w:val="26"/>
        </w:rPr>
        <w:t>uân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thủ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theo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các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quy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định</w:t>
      </w:r>
      <w:proofErr w:type="spellEnd"/>
      <w:r w:rsidRPr="00854FEC">
        <w:rPr>
          <w:sz w:val="26"/>
          <w:szCs w:val="26"/>
        </w:rPr>
        <w:t xml:space="preserve">, </w:t>
      </w:r>
      <w:proofErr w:type="spellStart"/>
      <w:r w:rsidRPr="00854FEC">
        <w:rPr>
          <w:sz w:val="26"/>
          <w:szCs w:val="26"/>
        </w:rPr>
        <w:t>quy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trình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của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Chủ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đầu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tư</w:t>
      </w:r>
      <w:proofErr w:type="spellEnd"/>
      <w:r w:rsidRPr="00854FEC">
        <w:rPr>
          <w:sz w:val="26"/>
          <w:szCs w:val="26"/>
        </w:rPr>
        <w:t>;</w:t>
      </w:r>
    </w:p>
    <w:p w14:paraId="2CAD425A" w14:textId="0E3F5216" w:rsidR="00551E66" w:rsidRPr="00641223" w:rsidRDefault="00D23454" w:rsidP="00D23454">
      <w:pPr>
        <w:spacing w:before="60" w:after="60"/>
        <w:ind w:firstLine="360"/>
        <w:jc w:val="both"/>
        <w:rPr>
          <w:sz w:val="26"/>
          <w:szCs w:val="26"/>
        </w:rPr>
      </w:pPr>
      <w:r w:rsidRPr="00854FEC">
        <w:rPr>
          <w:sz w:val="26"/>
          <w:szCs w:val="26"/>
        </w:rPr>
        <w:t xml:space="preserve">- </w:t>
      </w:r>
      <w:proofErr w:type="spellStart"/>
      <w:r w:rsidRPr="00854FEC">
        <w:rPr>
          <w:sz w:val="26"/>
          <w:szCs w:val="26"/>
        </w:rPr>
        <w:t>Nhà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thầu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854FEC">
        <w:rPr>
          <w:sz w:val="26"/>
          <w:szCs w:val="26"/>
        </w:rPr>
        <w:t>hịu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trách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nhiệm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bồi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thường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thiệt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hại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khi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xảy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ra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sự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cố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trong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quá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trình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thực</w:t>
      </w:r>
      <w:proofErr w:type="spellEnd"/>
      <w:r w:rsidRPr="00854FEC">
        <w:rPr>
          <w:sz w:val="26"/>
          <w:szCs w:val="26"/>
        </w:rPr>
        <w:t xml:space="preserve"> </w:t>
      </w:r>
      <w:proofErr w:type="spellStart"/>
      <w:r w:rsidRPr="00854FEC">
        <w:rPr>
          <w:sz w:val="26"/>
          <w:szCs w:val="26"/>
        </w:rPr>
        <w:t>hiện</w:t>
      </w:r>
      <w:proofErr w:type="spellEnd"/>
      <w:r w:rsidRPr="00854FEC">
        <w:rPr>
          <w:sz w:val="26"/>
          <w:szCs w:val="26"/>
        </w:rPr>
        <w:t>.</w:t>
      </w:r>
    </w:p>
    <w:p w14:paraId="3E41D9B4" w14:textId="77777777" w:rsidR="007D474C" w:rsidRPr="00DA5BA0" w:rsidRDefault="007D474C" w:rsidP="007D474C">
      <w:pPr>
        <w:spacing w:before="60" w:after="60"/>
        <w:ind w:firstLine="36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6"/>
      </w:tblGrid>
      <w:tr w:rsidR="005A2CD8" w:rsidRPr="00DA5BA0" w14:paraId="6A79159C" w14:textId="77777777" w:rsidTr="00EF415E">
        <w:tc>
          <w:tcPr>
            <w:tcW w:w="2500" w:type="pct"/>
          </w:tcPr>
          <w:p w14:paraId="03C420FA" w14:textId="77777777" w:rsidR="00EF415E" w:rsidRPr="00DA5BA0" w:rsidRDefault="00EF415E" w:rsidP="00EF415E">
            <w:pPr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2500" w:type="pct"/>
          </w:tcPr>
          <w:p w14:paraId="1631D889" w14:textId="3EB17B3D" w:rsidR="00EF415E" w:rsidRPr="00DA5BA0" w:rsidRDefault="00EF415E" w:rsidP="005A2CD8">
            <w:pPr>
              <w:jc w:val="center"/>
              <w:rPr>
                <w:sz w:val="26"/>
                <w:szCs w:val="26"/>
              </w:rPr>
            </w:pPr>
            <w:proofErr w:type="spellStart"/>
            <w:r w:rsidRPr="00DA5BA0">
              <w:rPr>
                <w:sz w:val="26"/>
                <w:szCs w:val="26"/>
              </w:rPr>
              <w:t>Ngày</w:t>
            </w:r>
            <w:proofErr w:type="spellEnd"/>
            <w:r w:rsidRPr="00DA5BA0">
              <w:rPr>
                <w:sz w:val="26"/>
                <w:szCs w:val="26"/>
              </w:rPr>
              <w:t xml:space="preserve"> … </w:t>
            </w:r>
            <w:proofErr w:type="spellStart"/>
            <w:r w:rsidRPr="00DA5BA0">
              <w:rPr>
                <w:sz w:val="26"/>
                <w:szCs w:val="26"/>
              </w:rPr>
              <w:t>tháng</w:t>
            </w:r>
            <w:proofErr w:type="spellEnd"/>
            <w:r w:rsidRPr="00DA5BA0">
              <w:rPr>
                <w:sz w:val="26"/>
                <w:szCs w:val="26"/>
              </w:rPr>
              <w:t xml:space="preserve"> …. </w:t>
            </w:r>
            <w:proofErr w:type="spellStart"/>
            <w:r w:rsidRPr="00DA5BA0">
              <w:rPr>
                <w:sz w:val="26"/>
                <w:szCs w:val="26"/>
              </w:rPr>
              <w:t>năm</w:t>
            </w:r>
            <w:proofErr w:type="spellEnd"/>
            <w:r w:rsidRPr="00DA5BA0">
              <w:rPr>
                <w:sz w:val="26"/>
                <w:szCs w:val="26"/>
              </w:rPr>
              <w:t xml:space="preserve"> 202</w:t>
            </w:r>
            <w:r w:rsidR="00551E66">
              <w:rPr>
                <w:sz w:val="26"/>
                <w:szCs w:val="26"/>
              </w:rPr>
              <w:t>5</w:t>
            </w:r>
          </w:p>
          <w:p w14:paraId="114CBEB6" w14:textId="77777777" w:rsidR="00EF415E" w:rsidRPr="00DA5BA0" w:rsidRDefault="00EF415E" w:rsidP="005A2CD8">
            <w:pPr>
              <w:jc w:val="center"/>
              <w:rPr>
                <w:b/>
                <w:bCs/>
                <w:sz w:val="26"/>
                <w:szCs w:val="26"/>
              </w:rPr>
            </w:pPr>
            <w:r w:rsidRPr="00DA5BA0"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483D15C6" w14:textId="77777777" w:rsidR="00EF415E" w:rsidRPr="00DA5BA0" w:rsidRDefault="00EF415E" w:rsidP="005A2CD8">
            <w:pPr>
              <w:jc w:val="center"/>
              <w:rPr>
                <w:sz w:val="26"/>
                <w:szCs w:val="26"/>
              </w:rPr>
            </w:pPr>
            <w:r w:rsidRPr="00DA5BA0">
              <w:rPr>
                <w:sz w:val="26"/>
                <w:szCs w:val="26"/>
              </w:rPr>
              <w:t>(</w:t>
            </w:r>
            <w:proofErr w:type="spellStart"/>
            <w:r w:rsidRPr="00DA5BA0">
              <w:rPr>
                <w:sz w:val="26"/>
                <w:szCs w:val="26"/>
              </w:rPr>
              <w:t>Ký</w:t>
            </w:r>
            <w:proofErr w:type="spellEnd"/>
            <w:r w:rsidRPr="00DA5BA0">
              <w:rPr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sz w:val="26"/>
                <w:szCs w:val="26"/>
              </w:rPr>
              <w:t>tên</w:t>
            </w:r>
            <w:proofErr w:type="spellEnd"/>
            <w:r w:rsidRPr="00DA5BA0">
              <w:rPr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sz w:val="26"/>
                <w:szCs w:val="26"/>
              </w:rPr>
              <w:t>và</w:t>
            </w:r>
            <w:proofErr w:type="spellEnd"/>
            <w:r w:rsidRPr="00DA5BA0">
              <w:rPr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sz w:val="26"/>
                <w:szCs w:val="26"/>
              </w:rPr>
              <w:t>đóng</w:t>
            </w:r>
            <w:proofErr w:type="spellEnd"/>
            <w:r w:rsidRPr="00DA5BA0">
              <w:rPr>
                <w:sz w:val="26"/>
                <w:szCs w:val="26"/>
              </w:rPr>
              <w:t xml:space="preserve"> </w:t>
            </w:r>
            <w:proofErr w:type="spellStart"/>
            <w:r w:rsidRPr="00DA5BA0">
              <w:rPr>
                <w:sz w:val="26"/>
                <w:szCs w:val="26"/>
              </w:rPr>
              <w:t>dấu</w:t>
            </w:r>
            <w:proofErr w:type="spellEnd"/>
            <w:r w:rsidRPr="00DA5BA0">
              <w:rPr>
                <w:sz w:val="26"/>
                <w:szCs w:val="26"/>
              </w:rPr>
              <w:t>)</w:t>
            </w:r>
          </w:p>
        </w:tc>
      </w:tr>
    </w:tbl>
    <w:p w14:paraId="423EE2DB" w14:textId="77777777" w:rsidR="00EF415E" w:rsidRPr="00DA5BA0" w:rsidRDefault="00EF415E" w:rsidP="00197781">
      <w:pPr>
        <w:spacing w:before="80" w:after="80"/>
        <w:ind w:firstLine="567"/>
        <w:rPr>
          <w:bCs/>
          <w:sz w:val="26"/>
          <w:szCs w:val="26"/>
        </w:rPr>
      </w:pPr>
    </w:p>
    <w:sectPr w:rsidR="00EF415E" w:rsidRPr="00DA5BA0" w:rsidSect="00C06E67">
      <w:headerReference w:type="default" r:id="rId14"/>
      <w:footerReference w:type="default" r:id="rId15"/>
      <w:footerReference w:type="first" r:id="rId16"/>
      <w:pgSz w:w="16839" w:h="11907" w:orient="landscape" w:code="9"/>
      <w:pgMar w:top="1701" w:right="1134" w:bottom="1134" w:left="1134" w:header="794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6298F" w14:textId="77777777" w:rsidR="0088222E" w:rsidRDefault="0088222E">
      <w:r>
        <w:separator/>
      </w:r>
    </w:p>
  </w:endnote>
  <w:endnote w:type="continuationSeparator" w:id="0">
    <w:p w14:paraId="55A6DE1F" w14:textId="77777777" w:rsidR="0088222E" w:rsidRDefault="0088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2D7E" w14:textId="77777777" w:rsidR="008E3C67" w:rsidRDefault="008E3C67">
    <w:pPr>
      <w:pStyle w:val="Footer"/>
    </w:pPr>
  </w:p>
  <w:p w14:paraId="1D93DAB2" w14:textId="77777777" w:rsidR="008E3C67" w:rsidRDefault="008E3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E3C67" w14:paraId="4FBFAF29" w14:textId="77777777">
      <w:tc>
        <w:tcPr>
          <w:tcW w:w="2801" w:type="dxa"/>
        </w:tcPr>
        <w:p w14:paraId="59D5FEAA" w14:textId="77777777" w:rsidR="008E3C67" w:rsidRDefault="0088222E">
          <w:pPr>
            <w:jc w:val="center"/>
          </w:pPr>
          <w:sdt>
            <w:sdtPr>
              <w:id w:val="421225651"/>
              <w:lock w:val="sdtContentLocked"/>
              <w:picture/>
            </w:sdtPr>
            <w:sdtEndPr/>
            <w:sdtContent>
              <w:r w:rsidR="00CF2BF2">
                <w:rPr>
                  <w:noProof/>
                </w:rPr>
                <w:drawing>
                  <wp:inline distT="0" distB="0" distL="0" distR="0" wp14:anchorId="70123AF9" wp14:editId="066D42E5">
                    <wp:extent cx="466914" cy="466914"/>
                    <wp:effectExtent l="0" t="0" r="0" b="0"/>
                    <wp:docPr id="1591094981" name="Picture 159109498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0197963B" w14:textId="77777777" w:rsidR="008E3C67" w:rsidRDefault="00CF2BF2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2F6AFA13" w14:textId="77777777" w:rsidR="008E3C67" w:rsidRDefault="008E3C67"/>
      </w:tc>
      <w:tc>
        <w:tcPr>
          <w:tcW w:w="2801" w:type="dxa"/>
        </w:tcPr>
        <w:p w14:paraId="36087DED" w14:textId="77777777" w:rsidR="008E3C67" w:rsidRDefault="008E3C67"/>
      </w:tc>
      <w:tc>
        <w:tcPr>
          <w:tcW w:w="2801" w:type="dxa"/>
        </w:tcPr>
        <w:p w14:paraId="7ED3B5F6" w14:textId="77777777" w:rsidR="008E3C67" w:rsidRDefault="008E3C67"/>
      </w:tc>
      <w:tc>
        <w:tcPr>
          <w:tcW w:w="2801" w:type="dxa"/>
        </w:tcPr>
        <w:p w14:paraId="1AF8A431" w14:textId="77777777" w:rsidR="008E3C67" w:rsidRDefault="008E3C6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999B4" w14:textId="77777777" w:rsidR="0088222E" w:rsidRDefault="0088222E">
      <w:r>
        <w:separator/>
      </w:r>
    </w:p>
  </w:footnote>
  <w:footnote w:type="continuationSeparator" w:id="0">
    <w:p w14:paraId="35920681" w14:textId="77777777" w:rsidR="0088222E" w:rsidRDefault="0088222E">
      <w:r>
        <w:continuationSeparator/>
      </w:r>
    </w:p>
  </w:footnote>
  <w:footnote w:id="1">
    <w:p w14:paraId="6857D6DA" w14:textId="77777777" w:rsidR="007D474C" w:rsidRDefault="007D474C" w:rsidP="007D474C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14:paraId="0CDA5445" w14:textId="77777777" w:rsidR="007D474C" w:rsidRDefault="007D474C" w:rsidP="007D474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1E37" w14:textId="77777777" w:rsidR="008E3C67" w:rsidRDefault="008E3C67">
    <w:pPr>
      <w:pStyle w:val="Header"/>
      <w:jc w:val="center"/>
    </w:pPr>
  </w:p>
  <w:p w14:paraId="51271340" w14:textId="77777777" w:rsidR="008E3C67" w:rsidRDefault="008E3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5D96"/>
    <w:multiLevelType w:val="hybridMultilevel"/>
    <w:tmpl w:val="40DCBF36"/>
    <w:lvl w:ilvl="0" w:tplc="0128926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F4A9E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422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2ACD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ECFA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8E0E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EA9B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68E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EA42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FF474B"/>
    <w:multiLevelType w:val="hybridMultilevel"/>
    <w:tmpl w:val="9A16B88C"/>
    <w:lvl w:ilvl="0" w:tplc="848C4E22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FDF40E0A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DE146658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DB96C066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A1248F0A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5E2985A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12C165C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9A22CFA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E258FDDE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67"/>
    <w:rsid w:val="0007591B"/>
    <w:rsid w:val="00083D0B"/>
    <w:rsid w:val="000C3CBC"/>
    <w:rsid w:val="0010315B"/>
    <w:rsid w:val="00135F5E"/>
    <w:rsid w:val="00165B86"/>
    <w:rsid w:val="00197781"/>
    <w:rsid w:val="001A427B"/>
    <w:rsid w:val="002249B4"/>
    <w:rsid w:val="00253F35"/>
    <w:rsid w:val="00254A3F"/>
    <w:rsid w:val="0029395B"/>
    <w:rsid w:val="00296534"/>
    <w:rsid w:val="00297C05"/>
    <w:rsid w:val="002D5832"/>
    <w:rsid w:val="002F5583"/>
    <w:rsid w:val="003404C3"/>
    <w:rsid w:val="00341B47"/>
    <w:rsid w:val="00371E4A"/>
    <w:rsid w:val="003A2FED"/>
    <w:rsid w:val="003A3C2A"/>
    <w:rsid w:val="004003E6"/>
    <w:rsid w:val="00423602"/>
    <w:rsid w:val="00442CB1"/>
    <w:rsid w:val="004B2E79"/>
    <w:rsid w:val="004C0072"/>
    <w:rsid w:val="00551E66"/>
    <w:rsid w:val="005A2CD8"/>
    <w:rsid w:val="005D78FE"/>
    <w:rsid w:val="00601096"/>
    <w:rsid w:val="00605023"/>
    <w:rsid w:val="006112FD"/>
    <w:rsid w:val="006202FE"/>
    <w:rsid w:val="00621CF5"/>
    <w:rsid w:val="00650EC4"/>
    <w:rsid w:val="00680219"/>
    <w:rsid w:val="00691B1E"/>
    <w:rsid w:val="006E4D56"/>
    <w:rsid w:val="007025D6"/>
    <w:rsid w:val="0073743F"/>
    <w:rsid w:val="00781ECB"/>
    <w:rsid w:val="007B0443"/>
    <w:rsid w:val="007B5DCD"/>
    <w:rsid w:val="007B6DB6"/>
    <w:rsid w:val="007D0C72"/>
    <w:rsid w:val="007D474C"/>
    <w:rsid w:val="007E67C0"/>
    <w:rsid w:val="007F7104"/>
    <w:rsid w:val="00810751"/>
    <w:rsid w:val="00824085"/>
    <w:rsid w:val="008255F0"/>
    <w:rsid w:val="00855B75"/>
    <w:rsid w:val="0088222E"/>
    <w:rsid w:val="008C418E"/>
    <w:rsid w:val="008E3C67"/>
    <w:rsid w:val="008F13DE"/>
    <w:rsid w:val="00917EAA"/>
    <w:rsid w:val="00920243"/>
    <w:rsid w:val="00923D4A"/>
    <w:rsid w:val="00945AAA"/>
    <w:rsid w:val="00967C76"/>
    <w:rsid w:val="00995DEC"/>
    <w:rsid w:val="00A026FE"/>
    <w:rsid w:val="00A20FC1"/>
    <w:rsid w:val="00A669DB"/>
    <w:rsid w:val="00A90B45"/>
    <w:rsid w:val="00AC5F24"/>
    <w:rsid w:val="00B037C2"/>
    <w:rsid w:val="00B54114"/>
    <w:rsid w:val="00B64266"/>
    <w:rsid w:val="00B879FF"/>
    <w:rsid w:val="00B957C1"/>
    <w:rsid w:val="00BE48C7"/>
    <w:rsid w:val="00BF651E"/>
    <w:rsid w:val="00C06E67"/>
    <w:rsid w:val="00C07AA1"/>
    <w:rsid w:val="00C211EF"/>
    <w:rsid w:val="00C30FEF"/>
    <w:rsid w:val="00C508AC"/>
    <w:rsid w:val="00C72D3A"/>
    <w:rsid w:val="00CC2D44"/>
    <w:rsid w:val="00CD3C92"/>
    <w:rsid w:val="00CF0C2E"/>
    <w:rsid w:val="00CF2BF2"/>
    <w:rsid w:val="00D05DC5"/>
    <w:rsid w:val="00D1681D"/>
    <w:rsid w:val="00D23454"/>
    <w:rsid w:val="00D2347A"/>
    <w:rsid w:val="00D356DF"/>
    <w:rsid w:val="00D477C9"/>
    <w:rsid w:val="00D84F18"/>
    <w:rsid w:val="00D97915"/>
    <w:rsid w:val="00DA20AA"/>
    <w:rsid w:val="00DA5BA0"/>
    <w:rsid w:val="00DD6A9D"/>
    <w:rsid w:val="00DF1CC3"/>
    <w:rsid w:val="00E010A0"/>
    <w:rsid w:val="00E17DE3"/>
    <w:rsid w:val="00E20570"/>
    <w:rsid w:val="00E30056"/>
    <w:rsid w:val="00E30FA4"/>
    <w:rsid w:val="00EA3402"/>
    <w:rsid w:val="00EF415E"/>
    <w:rsid w:val="00EF437A"/>
    <w:rsid w:val="00FD71A2"/>
    <w:rsid w:val="00FE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6E80"/>
  <w15:docId w15:val="{21698D20-5A6A-406F-A038-ED47DCDC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rsid w:val="007D474C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6F3EC3F-8861-4070-B8DC-E68FE149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45</cp:revision>
  <cp:lastPrinted>2024-12-20T02:40:00Z</cp:lastPrinted>
  <dcterms:created xsi:type="dcterms:W3CDTF">2024-08-21T09:20:00Z</dcterms:created>
  <dcterms:modified xsi:type="dcterms:W3CDTF">2025-12-02T08:57:00Z</dcterms:modified>
</cp:coreProperties>
</file>