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DE" w:rsidRDefault="00B2337A">
      <w:pPr>
        <w:tabs>
          <w:tab w:val="left" w:pos="3945"/>
        </w:tabs>
        <w:rPr>
          <w:b/>
          <w:bCs/>
          <w:sz w:val="26"/>
          <w:szCs w:val="26"/>
        </w:rPr>
      </w:pPr>
      <w:r>
        <w:rPr>
          <w:b/>
          <w:bCs/>
          <w:sz w:val="26"/>
          <w:szCs w:val="26"/>
        </w:rPr>
        <w:t>CÔNG TY: ……………………………………………</w:t>
      </w:r>
    </w:p>
    <w:p w:rsidR="002F04DE" w:rsidRDefault="00B2337A">
      <w:pPr>
        <w:spacing w:before="120" w:after="120"/>
        <w:rPr>
          <w:b/>
          <w:bCs/>
          <w:sz w:val="26"/>
          <w:szCs w:val="26"/>
        </w:rPr>
      </w:pPr>
      <w:r>
        <w:rPr>
          <w:b/>
          <w:bCs/>
          <w:sz w:val="26"/>
          <w:szCs w:val="26"/>
        </w:rPr>
        <w:t>ĐỊA CHỈ: ……………………………………………..</w:t>
      </w:r>
    </w:p>
    <w:p w:rsidR="002F04DE" w:rsidRDefault="00B2337A">
      <w:pPr>
        <w:spacing w:before="120" w:after="120"/>
        <w:rPr>
          <w:b/>
          <w:bCs/>
          <w:sz w:val="26"/>
          <w:szCs w:val="26"/>
        </w:rPr>
      </w:pPr>
      <w:r>
        <w:rPr>
          <w:b/>
          <w:bCs/>
          <w:sz w:val="26"/>
          <w:szCs w:val="26"/>
        </w:rPr>
        <w:t>SỐ ĐIỆN THOẠI: …………………………………...</w:t>
      </w:r>
    </w:p>
    <w:p w:rsidR="002F04DE" w:rsidRDefault="002F04DE">
      <w:pPr>
        <w:spacing w:before="120" w:after="120"/>
        <w:rPr>
          <w:b/>
          <w:bCs/>
          <w:sz w:val="32"/>
          <w:szCs w:val="32"/>
        </w:rPr>
      </w:pPr>
    </w:p>
    <w:p w:rsidR="002F04DE" w:rsidRDefault="00B2337A">
      <w:pPr>
        <w:spacing w:before="120" w:after="120"/>
        <w:jc w:val="center"/>
        <w:rPr>
          <w:b/>
          <w:bCs/>
          <w:sz w:val="32"/>
          <w:szCs w:val="32"/>
        </w:rPr>
      </w:pPr>
      <w:r>
        <w:rPr>
          <w:b/>
          <w:bCs/>
          <w:sz w:val="32"/>
          <w:szCs w:val="32"/>
        </w:rPr>
        <w:t>BẢNG BÁO GIÁ</w:t>
      </w:r>
    </w:p>
    <w:p w:rsidR="002F04DE" w:rsidRDefault="00B2337A">
      <w:pPr>
        <w:spacing w:before="240" w:after="120"/>
        <w:ind w:left="720"/>
        <w:rPr>
          <w:sz w:val="26"/>
          <w:szCs w:val="26"/>
        </w:rPr>
      </w:pPr>
      <w:r>
        <w:rPr>
          <w:sz w:val="26"/>
          <w:szCs w:val="26"/>
        </w:rPr>
        <w:t>Kính gửi: Bệnh viện Đại học Y Dược TPHCM</w:t>
      </w:r>
    </w:p>
    <w:p w:rsidR="002F04DE" w:rsidRDefault="00B2337A">
      <w:pPr>
        <w:spacing w:before="120" w:after="120"/>
        <w:ind w:left="720"/>
        <w:rPr>
          <w:sz w:val="26"/>
          <w:szCs w:val="26"/>
        </w:rPr>
      </w:pPr>
      <w:r>
        <w:rPr>
          <w:sz w:val="26"/>
          <w:szCs w:val="26"/>
        </w:rPr>
        <w:t>Địa chỉ: 215 Hồng Bàng, Phường 11, Quận 5, TPHCM</w:t>
      </w:r>
    </w:p>
    <w:p w:rsidR="002F04DE" w:rsidRDefault="00B2337A">
      <w:pPr>
        <w:spacing w:before="120" w:after="120"/>
        <w:ind w:left="720"/>
        <w:rPr>
          <w:sz w:val="26"/>
          <w:szCs w:val="26"/>
        </w:rPr>
      </w:pPr>
      <w:r>
        <w:rPr>
          <w:sz w:val="26"/>
          <w:szCs w:val="26"/>
        </w:rPr>
        <w:t>Theo công văn mời chào giá số ……../BVĐHYD-</w:t>
      </w:r>
      <w:r w:rsidR="00364F87">
        <w:rPr>
          <w:sz w:val="26"/>
          <w:szCs w:val="26"/>
        </w:rPr>
        <w:t>QTTN</w:t>
      </w:r>
      <w:r>
        <w:rPr>
          <w:sz w:val="26"/>
          <w:szCs w:val="26"/>
        </w:rPr>
        <w:t xml:space="preserve"> của Bệnh viện, Công ty chúng tôi báo giá như sau:</w:t>
      </w:r>
    </w:p>
    <w:tbl>
      <w:tblPr>
        <w:tblStyle w:val="TableGrid"/>
        <w:tblW w:w="14452" w:type="dxa"/>
        <w:tblInd w:w="-114" w:type="dxa"/>
        <w:tblCellMar>
          <w:left w:w="28" w:type="dxa"/>
          <w:right w:w="28" w:type="dxa"/>
        </w:tblCellMar>
        <w:tblLook w:val="04A0" w:firstRow="1" w:lastRow="0" w:firstColumn="1" w:lastColumn="0" w:noHBand="0" w:noVBand="1"/>
      </w:tblPr>
      <w:tblGrid>
        <w:gridCol w:w="592"/>
        <w:gridCol w:w="2070"/>
        <w:gridCol w:w="3870"/>
        <w:gridCol w:w="990"/>
        <w:gridCol w:w="1080"/>
        <w:gridCol w:w="720"/>
        <w:gridCol w:w="810"/>
        <w:gridCol w:w="1350"/>
        <w:gridCol w:w="1620"/>
        <w:gridCol w:w="1350"/>
      </w:tblGrid>
      <w:tr w:rsidR="006A5027" w:rsidRPr="00F353BA" w:rsidTr="00C4013F">
        <w:trPr>
          <w:tblHeader/>
        </w:trPr>
        <w:tc>
          <w:tcPr>
            <w:tcW w:w="592" w:type="dxa"/>
            <w:vAlign w:val="center"/>
          </w:tcPr>
          <w:p w:rsidR="00F353BA" w:rsidRPr="00F353BA" w:rsidRDefault="00F353BA" w:rsidP="00F353BA">
            <w:pPr>
              <w:spacing w:before="120" w:after="120"/>
              <w:contextualSpacing/>
              <w:jc w:val="center"/>
              <w:rPr>
                <w:b/>
                <w:bCs/>
                <w:sz w:val="26"/>
                <w:szCs w:val="26"/>
              </w:rPr>
            </w:pPr>
            <w:r w:rsidRPr="00F353BA">
              <w:rPr>
                <w:b/>
                <w:bCs/>
                <w:sz w:val="26"/>
                <w:szCs w:val="26"/>
              </w:rPr>
              <w:t>TT</w:t>
            </w:r>
          </w:p>
        </w:tc>
        <w:tc>
          <w:tcPr>
            <w:tcW w:w="2070" w:type="dxa"/>
            <w:vAlign w:val="center"/>
          </w:tcPr>
          <w:p w:rsidR="00F353BA" w:rsidRPr="00F353BA" w:rsidRDefault="00F353BA">
            <w:pPr>
              <w:spacing w:before="120" w:after="120"/>
              <w:contextualSpacing/>
              <w:jc w:val="center"/>
              <w:rPr>
                <w:b/>
                <w:bCs/>
                <w:sz w:val="26"/>
                <w:szCs w:val="26"/>
              </w:rPr>
            </w:pPr>
            <w:r w:rsidRPr="00F353BA">
              <w:rPr>
                <w:b/>
                <w:bCs/>
                <w:sz w:val="26"/>
                <w:szCs w:val="26"/>
              </w:rPr>
              <w:t>Tên hàng hóa</w:t>
            </w:r>
          </w:p>
        </w:tc>
        <w:tc>
          <w:tcPr>
            <w:tcW w:w="3870" w:type="dxa"/>
            <w:vAlign w:val="center"/>
          </w:tcPr>
          <w:p w:rsidR="00F353BA" w:rsidRPr="00F353BA" w:rsidRDefault="00F353BA">
            <w:pPr>
              <w:spacing w:before="120" w:after="120"/>
              <w:contextualSpacing/>
              <w:jc w:val="center"/>
              <w:rPr>
                <w:b/>
                <w:bCs/>
                <w:sz w:val="26"/>
                <w:szCs w:val="26"/>
              </w:rPr>
            </w:pPr>
            <w:r w:rsidRPr="00F353BA">
              <w:rPr>
                <w:b/>
                <w:bCs/>
                <w:sz w:val="26"/>
                <w:szCs w:val="26"/>
              </w:rPr>
              <w:t>Đặc tính kỹ thuật</w:t>
            </w:r>
          </w:p>
        </w:tc>
        <w:tc>
          <w:tcPr>
            <w:tcW w:w="990" w:type="dxa"/>
            <w:vAlign w:val="center"/>
          </w:tcPr>
          <w:p w:rsidR="00F353BA" w:rsidRPr="00F353BA" w:rsidRDefault="00F353BA">
            <w:pPr>
              <w:spacing w:before="120" w:after="120"/>
              <w:contextualSpacing/>
              <w:jc w:val="center"/>
              <w:rPr>
                <w:b/>
                <w:bCs/>
                <w:sz w:val="26"/>
                <w:szCs w:val="26"/>
              </w:rPr>
            </w:pPr>
            <w:r w:rsidRPr="00F353BA">
              <w:rPr>
                <w:b/>
                <w:bCs/>
                <w:sz w:val="26"/>
                <w:szCs w:val="26"/>
              </w:rPr>
              <w:t>Nhà sản xuất</w:t>
            </w:r>
          </w:p>
        </w:tc>
        <w:tc>
          <w:tcPr>
            <w:tcW w:w="1080" w:type="dxa"/>
            <w:vAlign w:val="center"/>
          </w:tcPr>
          <w:p w:rsidR="00F353BA" w:rsidRPr="00F353BA" w:rsidRDefault="00F353BA">
            <w:pPr>
              <w:spacing w:before="120" w:after="120"/>
              <w:contextualSpacing/>
              <w:jc w:val="center"/>
              <w:rPr>
                <w:b/>
                <w:bCs/>
                <w:sz w:val="26"/>
                <w:szCs w:val="26"/>
              </w:rPr>
            </w:pPr>
            <w:r w:rsidRPr="00F353BA">
              <w:rPr>
                <w:b/>
                <w:bCs/>
                <w:sz w:val="26"/>
                <w:szCs w:val="26"/>
              </w:rPr>
              <w:t>Nước sản xuất</w:t>
            </w:r>
          </w:p>
        </w:tc>
        <w:tc>
          <w:tcPr>
            <w:tcW w:w="720" w:type="dxa"/>
            <w:vAlign w:val="center"/>
          </w:tcPr>
          <w:p w:rsidR="00F353BA" w:rsidRPr="00F353BA" w:rsidRDefault="00F353BA" w:rsidP="00364F87">
            <w:pPr>
              <w:spacing w:before="120" w:after="120"/>
              <w:contextualSpacing/>
              <w:jc w:val="center"/>
              <w:rPr>
                <w:b/>
                <w:bCs/>
                <w:sz w:val="26"/>
                <w:szCs w:val="26"/>
              </w:rPr>
            </w:pPr>
            <w:r w:rsidRPr="00F353BA">
              <w:rPr>
                <w:b/>
                <w:bCs/>
                <w:sz w:val="26"/>
                <w:szCs w:val="26"/>
              </w:rPr>
              <w:t>Đơn vị tính</w:t>
            </w:r>
          </w:p>
        </w:tc>
        <w:tc>
          <w:tcPr>
            <w:tcW w:w="810" w:type="dxa"/>
          </w:tcPr>
          <w:p w:rsidR="00F353BA" w:rsidRPr="00F353BA" w:rsidRDefault="00F353BA" w:rsidP="00364F87">
            <w:pPr>
              <w:spacing w:before="120" w:after="120"/>
              <w:contextualSpacing/>
              <w:jc w:val="center"/>
              <w:rPr>
                <w:b/>
                <w:bCs/>
                <w:sz w:val="26"/>
                <w:szCs w:val="26"/>
              </w:rPr>
            </w:pPr>
            <w:r w:rsidRPr="00F353BA">
              <w:rPr>
                <w:b/>
                <w:bCs/>
                <w:sz w:val="26"/>
                <w:szCs w:val="26"/>
              </w:rPr>
              <w:t>Số lượng</w:t>
            </w:r>
          </w:p>
        </w:tc>
        <w:tc>
          <w:tcPr>
            <w:tcW w:w="1350" w:type="dxa"/>
            <w:vAlign w:val="center"/>
          </w:tcPr>
          <w:p w:rsidR="00F353BA" w:rsidRPr="00F353BA" w:rsidRDefault="00F353BA" w:rsidP="00364F87">
            <w:pPr>
              <w:spacing w:before="120" w:after="120"/>
              <w:contextualSpacing/>
              <w:jc w:val="center"/>
              <w:rPr>
                <w:b/>
                <w:bCs/>
                <w:sz w:val="26"/>
                <w:szCs w:val="26"/>
              </w:rPr>
            </w:pPr>
            <w:r w:rsidRPr="00F353BA">
              <w:rPr>
                <w:b/>
                <w:bCs/>
                <w:sz w:val="26"/>
                <w:szCs w:val="26"/>
              </w:rPr>
              <w:t>Đơn giá</w:t>
            </w:r>
            <w:r w:rsidRPr="00F353BA">
              <w:rPr>
                <w:b/>
                <w:bCs/>
                <w:sz w:val="26"/>
                <w:szCs w:val="26"/>
              </w:rPr>
              <w:br/>
              <w:t>(VND)</w:t>
            </w:r>
          </w:p>
        </w:tc>
        <w:tc>
          <w:tcPr>
            <w:tcW w:w="1620" w:type="dxa"/>
          </w:tcPr>
          <w:p w:rsidR="00F353BA" w:rsidRPr="00F353BA" w:rsidRDefault="00F353BA" w:rsidP="00364F87">
            <w:pPr>
              <w:spacing w:before="120" w:after="120"/>
              <w:contextualSpacing/>
              <w:jc w:val="center"/>
              <w:rPr>
                <w:b/>
                <w:bCs/>
                <w:sz w:val="26"/>
                <w:szCs w:val="26"/>
              </w:rPr>
            </w:pPr>
            <w:r w:rsidRPr="00F353BA">
              <w:rPr>
                <w:b/>
                <w:bCs/>
                <w:sz w:val="26"/>
                <w:szCs w:val="26"/>
              </w:rPr>
              <w:t>Thành tiền</w:t>
            </w:r>
          </w:p>
          <w:p w:rsidR="00F353BA" w:rsidRPr="00F353BA" w:rsidRDefault="00F353BA" w:rsidP="00364F87">
            <w:pPr>
              <w:spacing w:before="120" w:after="120"/>
              <w:contextualSpacing/>
              <w:jc w:val="center"/>
              <w:rPr>
                <w:b/>
                <w:bCs/>
                <w:sz w:val="26"/>
                <w:szCs w:val="26"/>
              </w:rPr>
            </w:pPr>
            <w:r w:rsidRPr="00F353BA">
              <w:rPr>
                <w:b/>
                <w:bCs/>
                <w:sz w:val="26"/>
                <w:szCs w:val="26"/>
              </w:rPr>
              <w:t>(VND)</w:t>
            </w:r>
          </w:p>
        </w:tc>
        <w:tc>
          <w:tcPr>
            <w:tcW w:w="1350" w:type="dxa"/>
            <w:vAlign w:val="center"/>
          </w:tcPr>
          <w:p w:rsidR="00F353BA" w:rsidRPr="00F353BA" w:rsidRDefault="00F353BA" w:rsidP="00364F87">
            <w:pPr>
              <w:spacing w:before="120" w:after="120"/>
              <w:contextualSpacing/>
              <w:jc w:val="center"/>
              <w:rPr>
                <w:b/>
                <w:bCs/>
                <w:sz w:val="26"/>
                <w:szCs w:val="26"/>
              </w:rPr>
            </w:pPr>
            <w:r w:rsidRPr="00F353BA">
              <w:rPr>
                <w:b/>
                <w:bCs/>
                <w:sz w:val="26"/>
                <w:szCs w:val="26"/>
              </w:rPr>
              <w:t>Ghi chú</w:t>
            </w: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bookmarkStart w:id="0" w:name="_GoBack" w:colFirst="5" w:colLast="6"/>
          </w:p>
        </w:tc>
        <w:tc>
          <w:tcPr>
            <w:tcW w:w="2070" w:type="dxa"/>
            <w:vAlign w:val="center"/>
          </w:tcPr>
          <w:p w:rsidR="00F353BA" w:rsidRPr="00F353BA" w:rsidRDefault="00F353BA" w:rsidP="00F353BA">
            <w:pPr>
              <w:rPr>
                <w:sz w:val="26"/>
                <w:szCs w:val="26"/>
              </w:rPr>
            </w:pPr>
            <w:r w:rsidRPr="00F353BA">
              <w:rPr>
                <w:sz w:val="26"/>
                <w:szCs w:val="26"/>
              </w:rPr>
              <w:t>Đệm lưng ghế nhân viên 1</w:t>
            </w:r>
          </w:p>
        </w:tc>
        <w:tc>
          <w:tcPr>
            <w:tcW w:w="3870" w:type="dxa"/>
          </w:tcPr>
          <w:p w:rsidR="00F353BA" w:rsidRPr="00F353BA" w:rsidRDefault="00F353BA" w:rsidP="00F353BA">
            <w:pPr>
              <w:rPr>
                <w:sz w:val="26"/>
                <w:szCs w:val="26"/>
              </w:rPr>
            </w:pPr>
            <w:r w:rsidRPr="00F353BA">
              <w:rPr>
                <w:sz w:val="26"/>
                <w:szCs w:val="26"/>
              </w:rPr>
              <w:t>- Thay đệm lưng cho ghế The One mã SG550.</w:t>
            </w:r>
            <w:r w:rsidRPr="00F353BA">
              <w:rPr>
                <w:sz w:val="26"/>
                <w:szCs w:val="26"/>
              </w:rPr>
              <w:br/>
              <w:t>- Lưng bằng nhựa nguyên sinh cao cấp, bên trong có lớp ván ép dày ≥10mm, ốp nệm mút D40, bọc simili màu đen bên ngoài.</w:t>
            </w:r>
            <w:r w:rsidRPr="00F353BA">
              <w:rPr>
                <w:sz w:val="26"/>
                <w:szCs w:val="26"/>
              </w:rPr>
              <w:br/>
              <w:t>- Kích thước: (420 x 420)mm.</w:t>
            </w:r>
            <w:r w:rsidRPr="00F353BA">
              <w:rPr>
                <w:sz w:val="26"/>
                <w:szCs w:val="26"/>
              </w:rPr>
              <w:br/>
              <w:t>- Lắp đặt tương thích/phù hợp với ghế hiện hữu.</w:t>
            </w:r>
            <w:r w:rsidRPr="00F353BA">
              <w:rPr>
                <w:sz w:val="26"/>
                <w:szCs w:val="26"/>
              </w:rPr>
              <w:br/>
              <w:t>- Bao gồm ốc, vít phù hợp để lắp đặt.</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137</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ngồi ghế nhân viên 1</w:t>
            </w:r>
          </w:p>
        </w:tc>
        <w:tc>
          <w:tcPr>
            <w:tcW w:w="3870" w:type="dxa"/>
          </w:tcPr>
          <w:p w:rsidR="00F353BA" w:rsidRPr="00F353BA" w:rsidRDefault="00F353BA" w:rsidP="00F353BA">
            <w:pPr>
              <w:rPr>
                <w:sz w:val="26"/>
                <w:szCs w:val="26"/>
              </w:rPr>
            </w:pPr>
            <w:r w:rsidRPr="00F353BA">
              <w:rPr>
                <w:sz w:val="26"/>
                <w:szCs w:val="26"/>
              </w:rPr>
              <w:t>- Thay đệm ngồi cho ghế The One mã SG550.</w:t>
            </w:r>
            <w:r w:rsidRPr="00F353BA">
              <w:rPr>
                <w:sz w:val="26"/>
                <w:szCs w:val="26"/>
              </w:rPr>
              <w:br/>
              <w:t xml:space="preserve">- Đáy bằng nhựa nguyên sinh cao </w:t>
            </w:r>
            <w:r w:rsidRPr="00F353BA">
              <w:rPr>
                <w:sz w:val="26"/>
                <w:szCs w:val="26"/>
              </w:rPr>
              <w:lastRenderedPageBreak/>
              <w:t xml:space="preserve">cấp, bên trong có lớp ván ép dày ≥10mm, ốp nệm mút D40, bọc simili màu đen bên ngoài. </w:t>
            </w:r>
            <w:r w:rsidRPr="00F353BA">
              <w:rPr>
                <w:sz w:val="26"/>
                <w:szCs w:val="26"/>
              </w:rPr>
              <w:br/>
              <w:t>- Kích thước: (420 x 460)mm.</w:t>
            </w:r>
            <w:r w:rsidRPr="00F353BA">
              <w:rPr>
                <w:sz w:val="26"/>
                <w:szCs w:val="26"/>
              </w:rPr>
              <w:br/>
              <w:t>- Lắp đặt tương thích/phù hợp với ghế hiện hữu.</w:t>
            </w:r>
            <w:r w:rsidRPr="00F353BA">
              <w:rPr>
                <w:sz w:val="26"/>
                <w:szCs w:val="26"/>
              </w:rPr>
              <w:br/>
              <w:t>- Bao gồm ốc, vít phù hợp để lắp đặt.</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251</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ghế nhân viên 2</w:t>
            </w:r>
          </w:p>
        </w:tc>
        <w:tc>
          <w:tcPr>
            <w:tcW w:w="3870" w:type="dxa"/>
          </w:tcPr>
          <w:p w:rsidR="00F353BA" w:rsidRPr="00F353BA" w:rsidRDefault="00F353BA" w:rsidP="00F353BA">
            <w:pPr>
              <w:rPr>
                <w:sz w:val="26"/>
                <w:szCs w:val="26"/>
              </w:rPr>
            </w:pPr>
            <w:r w:rsidRPr="00F353BA">
              <w:rPr>
                <w:sz w:val="26"/>
                <w:szCs w:val="26"/>
              </w:rPr>
              <w:t>- Bọc lại đệm cho ghế The One mã SG711.</w:t>
            </w:r>
            <w:r w:rsidRPr="00F353BA">
              <w:rPr>
                <w:sz w:val="26"/>
                <w:szCs w:val="26"/>
              </w:rPr>
              <w:br/>
              <w:t>- Sử dụng lại khung ván cũ, ốp lại nệm mút mới, dùng mút D40, bọc lại simili màu đen tất cả các mặt.</w:t>
            </w:r>
            <w:r w:rsidRPr="00F353BA">
              <w:rPr>
                <w:sz w:val="26"/>
                <w:szCs w:val="26"/>
              </w:rPr>
              <w:br/>
              <w:t>- Đệm lưng và đệm ngồi liền khối.</w:t>
            </w:r>
            <w:r w:rsidRPr="00F353BA">
              <w:rPr>
                <w:sz w:val="26"/>
                <w:szCs w:val="26"/>
              </w:rPr>
              <w:br/>
              <w:t>- Kích thước: (500 x 500 x 650)mm.</w:t>
            </w:r>
            <w:r w:rsidRPr="00F353BA">
              <w:rPr>
                <w:sz w:val="26"/>
                <w:szCs w:val="26"/>
              </w:rPr>
              <w:br/>
              <w:t>- Lắp đặt tương thích/phù hợp với ghế hiện hữu.</w:t>
            </w:r>
            <w:r w:rsidRPr="00F353BA">
              <w:rPr>
                <w:sz w:val="26"/>
                <w:szCs w:val="26"/>
              </w:rPr>
              <w:br/>
              <w:t>- Gia cố tay vịn, chân ghế bị lỏng lẻo (nếu có).</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14</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ghế nhân viên 3</w:t>
            </w:r>
          </w:p>
        </w:tc>
        <w:tc>
          <w:tcPr>
            <w:tcW w:w="3870" w:type="dxa"/>
          </w:tcPr>
          <w:p w:rsidR="00F353BA" w:rsidRPr="00F353BA" w:rsidRDefault="00F353BA" w:rsidP="00F353BA">
            <w:pPr>
              <w:rPr>
                <w:sz w:val="26"/>
                <w:szCs w:val="26"/>
              </w:rPr>
            </w:pPr>
            <w:r w:rsidRPr="00F353BA">
              <w:rPr>
                <w:sz w:val="26"/>
                <w:szCs w:val="26"/>
              </w:rPr>
              <w:t>- Bọc lại đệm cho ghế The One mã SG710.</w:t>
            </w:r>
            <w:r w:rsidRPr="00F353BA">
              <w:rPr>
                <w:sz w:val="26"/>
                <w:szCs w:val="26"/>
              </w:rPr>
              <w:br/>
              <w:t>- Sử dụng lại khung ván cũ, ốp lại nệm mút mới, dùng mút D40, bọc lại simili mới màu đen tất cả các mặt.</w:t>
            </w:r>
            <w:r w:rsidRPr="00F353BA">
              <w:rPr>
                <w:sz w:val="26"/>
                <w:szCs w:val="26"/>
              </w:rPr>
              <w:br/>
            </w:r>
            <w:r w:rsidRPr="00F353BA">
              <w:rPr>
                <w:sz w:val="26"/>
                <w:szCs w:val="26"/>
              </w:rPr>
              <w:lastRenderedPageBreak/>
              <w:t xml:space="preserve">- Đệm lưng và đệm ngồi liền khối. </w:t>
            </w:r>
            <w:r w:rsidRPr="00F353BA">
              <w:rPr>
                <w:sz w:val="26"/>
                <w:szCs w:val="26"/>
              </w:rPr>
              <w:br/>
              <w:t>- Kích thước: (470 x 470 x 520)mm.</w:t>
            </w:r>
            <w:r w:rsidRPr="00F353BA">
              <w:rPr>
                <w:sz w:val="26"/>
                <w:szCs w:val="26"/>
              </w:rPr>
              <w:br/>
              <w:t>- Lắp đặt tương thích/phù hợp với ghế hiện hữu.</w:t>
            </w:r>
            <w:r w:rsidRPr="00F353BA">
              <w:rPr>
                <w:sz w:val="26"/>
                <w:szCs w:val="26"/>
              </w:rPr>
              <w:br/>
              <w:t>- Gia cố tay vịn, chân ghế bị lỏng lẻo (nếu có).</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18</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lưng ghế xếp</w:t>
            </w:r>
          </w:p>
        </w:tc>
        <w:tc>
          <w:tcPr>
            <w:tcW w:w="3870" w:type="dxa"/>
          </w:tcPr>
          <w:p w:rsidR="00F353BA" w:rsidRPr="00F353BA" w:rsidRDefault="00F353BA" w:rsidP="00F353BA">
            <w:pPr>
              <w:rPr>
                <w:sz w:val="26"/>
                <w:szCs w:val="26"/>
              </w:rPr>
            </w:pPr>
            <w:r w:rsidRPr="00F353BA">
              <w:rPr>
                <w:sz w:val="26"/>
                <w:szCs w:val="26"/>
              </w:rPr>
              <w:t>- Thay đệm lưng cho ghế Xuân Hòa mã GM-05-00.</w:t>
            </w:r>
            <w:r w:rsidRPr="00F353BA">
              <w:rPr>
                <w:sz w:val="26"/>
                <w:szCs w:val="26"/>
              </w:rPr>
              <w:br/>
              <w:t>- Mặt sau: ván ép dày ≥5mm, bọc simili màu xanh dương.</w:t>
            </w:r>
            <w:r w:rsidRPr="00F353BA">
              <w:rPr>
                <w:sz w:val="26"/>
                <w:szCs w:val="26"/>
              </w:rPr>
              <w:br/>
              <w:t>- Mặt trước: ván ép dày ≥5mm, ốp nệm mút D40, bọc simili màu xanh dương.</w:t>
            </w:r>
            <w:r w:rsidRPr="00F353BA">
              <w:rPr>
                <w:sz w:val="26"/>
                <w:szCs w:val="26"/>
              </w:rPr>
              <w:br/>
              <w:t>- Kích thước: (385 x 430)mm.</w:t>
            </w:r>
            <w:r w:rsidRPr="00F353BA">
              <w:rPr>
                <w:sz w:val="26"/>
                <w:szCs w:val="26"/>
              </w:rPr>
              <w:br/>
              <w:t>- Lắp đặt tương thích/phù hợp với ghế hiện hữu.</w:t>
            </w:r>
            <w:r w:rsidRPr="00F353BA">
              <w:rPr>
                <w:sz w:val="26"/>
                <w:szCs w:val="26"/>
              </w:rPr>
              <w:br/>
              <w:t>- Bao gồm ốc, vít phù hợp để lắp đặt.</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91</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ngồi ghế xếp</w:t>
            </w:r>
          </w:p>
        </w:tc>
        <w:tc>
          <w:tcPr>
            <w:tcW w:w="3870" w:type="dxa"/>
          </w:tcPr>
          <w:p w:rsidR="00F353BA" w:rsidRPr="00F353BA" w:rsidRDefault="00F353BA" w:rsidP="00F353BA">
            <w:pPr>
              <w:rPr>
                <w:sz w:val="26"/>
                <w:szCs w:val="26"/>
              </w:rPr>
            </w:pPr>
            <w:r w:rsidRPr="00F353BA">
              <w:rPr>
                <w:sz w:val="26"/>
                <w:szCs w:val="26"/>
              </w:rPr>
              <w:t>- Thay đệm ngồi cho ghế Xuân Hòa mã GM-05-00.</w:t>
            </w:r>
            <w:r w:rsidRPr="00F353BA">
              <w:rPr>
                <w:sz w:val="26"/>
                <w:szCs w:val="26"/>
              </w:rPr>
              <w:br/>
              <w:t>- Ván ép dày ≥10mm, ốp nệm mút D40, bọc simili màu xanh dương.</w:t>
            </w:r>
            <w:r w:rsidRPr="00F353BA">
              <w:rPr>
                <w:sz w:val="26"/>
                <w:szCs w:val="26"/>
              </w:rPr>
              <w:br/>
              <w:t>- Kích thước: (385 x 430)mm.</w:t>
            </w:r>
            <w:r w:rsidRPr="00F353BA">
              <w:rPr>
                <w:sz w:val="26"/>
                <w:szCs w:val="26"/>
              </w:rPr>
              <w:br/>
              <w:t>- Lắp đặt tương thích/phù hợp với ghế hiện hữu.</w:t>
            </w:r>
            <w:r w:rsidRPr="00F353BA">
              <w:rPr>
                <w:sz w:val="26"/>
                <w:szCs w:val="26"/>
              </w:rPr>
              <w:br/>
            </w:r>
            <w:r w:rsidRPr="00F353BA">
              <w:rPr>
                <w:sz w:val="26"/>
                <w:szCs w:val="26"/>
              </w:rPr>
              <w:lastRenderedPageBreak/>
              <w:t>- Bao gồm ốc, vít phù hợp để lắp đặt.</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95</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ghế đôn inox</w:t>
            </w:r>
          </w:p>
        </w:tc>
        <w:tc>
          <w:tcPr>
            <w:tcW w:w="3870" w:type="dxa"/>
          </w:tcPr>
          <w:p w:rsidR="00F353BA" w:rsidRPr="00F353BA" w:rsidRDefault="00F353BA" w:rsidP="00F353BA">
            <w:pPr>
              <w:rPr>
                <w:sz w:val="26"/>
                <w:szCs w:val="26"/>
              </w:rPr>
            </w:pPr>
            <w:r w:rsidRPr="00F353BA">
              <w:rPr>
                <w:sz w:val="26"/>
                <w:szCs w:val="26"/>
              </w:rPr>
              <w:t>- Thay đệm cho ghế đôn khung inox đệm tròn hiện hữu.</w:t>
            </w:r>
            <w:r w:rsidRPr="00F353BA">
              <w:rPr>
                <w:sz w:val="26"/>
                <w:szCs w:val="26"/>
              </w:rPr>
              <w:br/>
              <w:t>- Ván ép dày ≥10mm, mài bo tròn cạnh ván, ốp nệm mút D40, bọc simili màu xanh dương tất cả các mặt.</w:t>
            </w:r>
            <w:r w:rsidRPr="00F353BA">
              <w:rPr>
                <w:sz w:val="26"/>
                <w:szCs w:val="26"/>
              </w:rPr>
              <w:br/>
              <w:t>- Kích thước: Ø290mm hoặc lắp đặt tương thích/phù hợp với ghế hiện hữu.</w:t>
            </w:r>
            <w:r w:rsidRPr="00F353BA">
              <w:rPr>
                <w:sz w:val="26"/>
                <w:szCs w:val="26"/>
              </w:rPr>
              <w:br/>
              <w:t>- Bao gồm ốc, vít phù hợp để lắp đặt.</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456</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ghế quầy</w:t>
            </w:r>
          </w:p>
        </w:tc>
        <w:tc>
          <w:tcPr>
            <w:tcW w:w="3870" w:type="dxa"/>
          </w:tcPr>
          <w:p w:rsidR="00F353BA" w:rsidRPr="00F353BA" w:rsidRDefault="00F353BA" w:rsidP="00F353BA">
            <w:pPr>
              <w:rPr>
                <w:sz w:val="26"/>
                <w:szCs w:val="26"/>
              </w:rPr>
            </w:pPr>
            <w:r w:rsidRPr="00F353BA">
              <w:rPr>
                <w:sz w:val="26"/>
                <w:szCs w:val="26"/>
              </w:rPr>
              <w:t>- Thay đệm cho ghế hiện hữu The One mã SB06.</w:t>
            </w:r>
            <w:r w:rsidRPr="00F353BA">
              <w:rPr>
                <w:sz w:val="26"/>
                <w:szCs w:val="26"/>
              </w:rPr>
              <w:br/>
              <w:t>- Ván ép dày ≥10mm, ốp nệm mút D40, bọc simili màu đen tất cả các mặt.</w:t>
            </w:r>
            <w:r w:rsidRPr="00F353BA">
              <w:rPr>
                <w:sz w:val="26"/>
                <w:szCs w:val="26"/>
              </w:rPr>
              <w:br/>
              <w:t>- Kích thước:  Ø350mm.</w:t>
            </w:r>
            <w:r w:rsidRPr="00F353BA">
              <w:rPr>
                <w:sz w:val="26"/>
                <w:szCs w:val="26"/>
              </w:rPr>
              <w:br/>
              <w:t>- Lắp đặt tương thích/phù hợp với ghế hiện hữu.</w:t>
            </w:r>
            <w:r w:rsidRPr="00F353BA">
              <w:rPr>
                <w:sz w:val="26"/>
                <w:szCs w:val="26"/>
              </w:rPr>
              <w:br/>
              <w:t>- Bao gồm ốc, vít phù hợp để lắp đặt.</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64</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lưng ghế băng chờ</w:t>
            </w:r>
          </w:p>
        </w:tc>
        <w:tc>
          <w:tcPr>
            <w:tcW w:w="3870" w:type="dxa"/>
          </w:tcPr>
          <w:p w:rsidR="00F353BA" w:rsidRPr="00F353BA" w:rsidRDefault="00F353BA" w:rsidP="00F353BA">
            <w:pPr>
              <w:rPr>
                <w:sz w:val="26"/>
                <w:szCs w:val="26"/>
              </w:rPr>
            </w:pPr>
            <w:r w:rsidRPr="00F353BA">
              <w:rPr>
                <w:sz w:val="26"/>
                <w:szCs w:val="26"/>
              </w:rPr>
              <w:t>- Thay đệm lưng cho ghế băng chờ.</w:t>
            </w:r>
            <w:r w:rsidRPr="00F353BA">
              <w:rPr>
                <w:sz w:val="26"/>
                <w:szCs w:val="26"/>
              </w:rPr>
              <w:br/>
              <w:t>- Ván ép dày ≥5mm, ốp nệm mút D40, bọc simili màu xanh dương tất cả các mặt.</w:t>
            </w:r>
            <w:r w:rsidRPr="00F353BA">
              <w:rPr>
                <w:sz w:val="26"/>
                <w:szCs w:val="26"/>
              </w:rPr>
              <w:br/>
              <w:t>- Kích thước: (490 x 370)mm.</w:t>
            </w:r>
            <w:r w:rsidRPr="00F353BA">
              <w:rPr>
                <w:sz w:val="26"/>
                <w:szCs w:val="26"/>
              </w:rPr>
              <w:br/>
              <w:t>- Lắp đặt tương thích/phù hợp với ghế hiện hữu.</w:t>
            </w:r>
            <w:r w:rsidRPr="00F353BA">
              <w:rPr>
                <w:sz w:val="26"/>
                <w:szCs w:val="26"/>
              </w:rPr>
              <w:br/>
              <w:t>- Bao gồm ốc, vít phù hợp để lắp đặt.</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114</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ngồi ghế băng chờ</w:t>
            </w:r>
          </w:p>
        </w:tc>
        <w:tc>
          <w:tcPr>
            <w:tcW w:w="3870" w:type="dxa"/>
          </w:tcPr>
          <w:p w:rsidR="00F353BA" w:rsidRPr="00F353BA" w:rsidRDefault="00F353BA" w:rsidP="00F353BA">
            <w:pPr>
              <w:rPr>
                <w:sz w:val="26"/>
                <w:szCs w:val="26"/>
              </w:rPr>
            </w:pPr>
            <w:r w:rsidRPr="00F353BA">
              <w:rPr>
                <w:sz w:val="26"/>
                <w:szCs w:val="26"/>
              </w:rPr>
              <w:t>- Thay đệm ngồi cho ghế băng chờ.</w:t>
            </w:r>
            <w:r w:rsidRPr="00F353BA">
              <w:rPr>
                <w:sz w:val="26"/>
                <w:szCs w:val="26"/>
              </w:rPr>
              <w:br/>
              <w:t xml:space="preserve">- Ván ép dày ≥10mm, ốp nệm mút D40, bọc simili màu xanh dương tất cả các mặt. </w:t>
            </w:r>
            <w:r w:rsidRPr="00F353BA">
              <w:rPr>
                <w:sz w:val="26"/>
                <w:szCs w:val="26"/>
              </w:rPr>
              <w:br/>
              <w:t>- Kích thước: (490 x 370)mm.</w:t>
            </w:r>
            <w:r w:rsidRPr="00F353BA">
              <w:rPr>
                <w:sz w:val="26"/>
                <w:szCs w:val="26"/>
              </w:rPr>
              <w:br/>
              <w:t>- Lắp đặt tương thích/phù hợp với ghế hiện hữu.</w:t>
            </w:r>
            <w:r w:rsidRPr="00F353BA">
              <w:rPr>
                <w:sz w:val="26"/>
                <w:szCs w:val="26"/>
              </w:rPr>
              <w:br/>
              <w:t>- Bao gồm ốc, vít phù hợp để lắp đặt.</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127</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lưng ghế vuông khung inox</w:t>
            </w:r>
          </w:p>
        </w:tc>
        <w:tc>
          <w:tcPr>
            <w:tcW w:w="3870" w:type="dxa"/>
          </w:tcPr>
          <w:p w:rsidR="00F353BA" w:rsidRPr="00F353BA" w:rsidRDefault="00F353BA" w:rsidP="00F353BA">
            <w:pPr>
              <w:rPr>
                <w:sz w:val="26"/>
                <w:szCs w:val="26"/>
              </w:rPr>
            </w:pPr>
            <w:r w:rsidRPr="00F353BA">
              <w:rPr>
                <w:sz w:val="26"/>
                <w:szCs w:val="26"/>
              </w:rPr>
              <w:t>- Thay đệm lưng cho ghế The One mã G895.</w:t>
            </w:r>
            <w:r w:rsidRPr="00F353BA">
              <w:rPr>
                <w:sz w:val="26"/>
                <w:szCs w:val="26"/>
              </w:rPr>
              <w:br/>
              <w:t>- Mặt trước: ván ép dày ≥5mm, ốp nệm mút D40, bọc simili màu đen.</w:t>
            </w:r>
            <w:r w:rsidRPr="00F353BA">
              <w:rPr>
                <w:sz w:val="26"/>
                <w:szCs w:val="26"/>
              </w:rPr>
              <w:br/>
              <w:t>- Mặt sau: ván ép dày ≥5mm, ốp nệm mút D40, bọc simili màu đen.</w:t>
            </w:r>
            <w:r w:rsidRPr="00F353BA">
              <w:rPr>
                <w:sz w:val="26"/>
                <w:szCs w:val="26"/>
              </w:rPr>
              <w:br/>
              <w:t xml:space="preserve">- Hai mặt ép lại bằng máy/chốt tappi </w:t>
            </w:r>
            <w:r w:rsidRPr="00F353BA">
              <w:rPr>
                <w:sz w:val="26"/>
                <w:szCs w:val="26"/>
              </w:rPr>
              <w:lastRenderedPageBreak/>
              <w:t xml:space="preserve">gia cố thêm keo hoặc kim đinh nếu cần để đảm bảo lưng ghế không bị bung. </w:t>
            </w:r>
            <w:r w:rsidRPr="00F353BA">
              <w:rPr>
                <w:sz w:val="26"/>
                <w:szCs w:val="26"/>
              </w:rPr>
              <w:br/>
              <w:t>- Kích thước: (420 x 340)mm.</w:t>
            </w:r>
            <w:r w:rsidRPr="00F353BA">
              <w:rPr>
                <w:sz w:val="26"/>
                <w:szCs w:val="26"/>
              </w:rPr>
              <w:br/>
              <w:t>- Lắp đặt tương thích/phù hợp với ghế hiện hữu.</w:t>
            </w:r>
            <w:r w:rsidRPr="00F353BA">
              <w:rPr>
                <w:sz w:val="26"/>
                <w:szCs w:val="26"/>
              </w:rPr>
              <w:br/>
              <w:t>- Gia cố, hàn lại khung ghế bị gãy (nếu có).</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173</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Đệm ngồi ghế vuông khung inox</w:t>
            </w:r>
          </w:p>
        </w:tc>
        <w:tc>
          <w:tcPr>
            <w:tcW w:w="3870" w:type="dxa"/>
          </w:tcPr>
          <w:p w:rsidR="00F353BA" w:rsidRPr="00F353BA" w:rsidRDefault="00F353BA" w:rsidP="00F353BA">
            <w:pPr>
              <w:rPr>
                <w:sz w:val="26"/>
                <w:szCs w:val="26"/>
              </w:rPr>
            </w:pPr>
            <w:r w:rsidRPr="00F353BA">
              <w:rPr>
                <w:sz w:val="26"/>
                <w:szCs w:val="26"/>
              </w:rPr>
              <w:t>- Thay đệm ngồi cho ghế The One mã G895.</w:t>
            </w:r>
            <w:r w:rsidRPr="00F353BA">
              <w:rPr>
                <w:sz w:val="26"/>
                <w:szCs w:val="26"/>
              </w:rPr>
              <w:br/>
              <w:t>- Ván ép dày ≥10mm, ốp nệm mút D40, bọc simili màu đen tất cả các mặt.</w:t>
            </w:r>
            <w:r w:rsidRPr="00F353BA">
              <w:rPr>
                <w:sz w:val="26"/>
                <w:szCs w:val="26"/>
              </w:rPr>
              <w:br/>
              <w:t>- Kích thước: (400 x 420)mm.</w:t>
            </w:r>
            <w:r w:rsidRPr="00F353BA">
              <w:rPr>
                <w:sz w:val="26"/>
                <w:szCs w:val="26"/>
              </w:rPr>
              <w:br/>
              <w:t>- Lắp đặt tương thích/phù hợp với ghế hiện hữu.</w:t>
            </w:r>
            <w:r w:rsidRPr="00F353BA">
              <w:rPr>
                <w:sz w:val="26"/>
                <w:szCs w:val="26"/>
              </w:rPr>
              <w:br/>
              <w:t>- Gia cố, hàn lại khung ghế bị gãy (nếu có).</w:t>
            </w:r>
            <w:r w:rsidRPr="00F353BA">
              <w:rPr>
                <w:sz w:val="26"/>
                <w:szCs w:val="26"/>
              </w:rPr>
              <w:br/>
              <w:t>- Bổ sung nút chân bị mất (nếu có).</w:t>
            </w:r>
            <w:r w:rsidRPr="00F353BA">
              <w:rPr>
                <w:sz w:val="26"/>
                <w:szCs w:val="26"/>
              </w:rPr>
              <w:br/>
              <w:t>- Giao hàng và lắp đặt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163</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Chân ghế xoay loại 1</w:t>
            </w:r>
          </w:p>
        </w:tc>
        <w:tc>
          <w:tcPr>
            <w:tcW w:w="3870" w:type="dxa"/>
          </w:tcPr>
          <w:p w:rsidR="00F353BA" w:rsidRPr="00F353BA" w:rsidRDefault="00F353BA" w:rsidP="00F353BA">
            <w:pPr>
              <w:rPr>
                <w:sz w:val="26"/>
                <w:szCs w:val="26"/>
              </w:rPr>
            </w:pPr>
            <w:r w:rsidRPr="00F353BA">
              <w:rPr>
                <w:sz w:val="26"/>
                <w:szCs w:val="26"/>
              </w:rPr>
              <w:t>- Thay chân cho ghế The One mã SG550.</w:t>
            </w:r>
            <w:r w:rsidRPr="00F353BA">
              <w:rPr>
                <w:sz w:val="26"/>
                <w:szCs w:val="26"/>
              </w:rPr>
              <w:br/>
              <w:t>- Chân ghế xoay 5 cánh bằng nhựa đúc màu đen bao gồm bánh xe, 05 bánh xe/chân ghế.</w:t>
            </w:r>
            <w:r w:rsidRPr="00F353BA">
              <w:rPr>
                <w:sz w:val="26"/>
                <w:szCs w:val="26"/>
              </w:rPr>
              <w:br/>
              <w:t>- Lỗ gắn ben hơi đường kính 50mm.</w:t>
            </w:r>
            <w:r w:rsidRPr="00F353BA">
              <w:rPr>
                <w:sz w:val="26"/>
                <w:szCs w:val="26"/>
              </w:rPr>
              <w:br/>
            </w:r>
            <w:r w:rsidRPr="00F353BA">
              <w:rPr>
                <w:sz w:val="26"/>
                <w:szCs w:val="26"/>
              </w:rPr>
              <w:lastRenderedPageBreak/>
              <w:t>- Tải trọng &gt;= 100kg.</w:t>
            </w:r>
            <w:r w:rsidRPr="00F353BA">
              <w:rPr>
                <w:sz w:val="26"/>
                <w:szCs w:val="26"/>
              </w:rPr>
              <w:br/>
              <w:t>- Kích thước: Ø540mm.</w:t>
            </w:r>
            <w:r w:rsidRPr="00F353BA">
              <w:rPr>
                <w:sz w:val="26"/>
                <w:szCs w:val="26"/>
              </w:rPr>
              <w:br/>
              <w:t>- Lắp đặt tương thích/phù hợp với ghế hiện hữu.</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30</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Chân ghế xoay loại 2</w:t>
            </w:r>
          </w:p>
        </w:tc>
        <w:tc>
          <w:tcPr>
            <w:tcW w:w="3870" w:type="dxa"/>
          </w:tcPr>
          <w:p w:rsidR="00F353BA" w:rsidRPr="00F353BA" w:rsidRDefault="00F353BA" w:rsidP="00F353BA">
            <w:pPr>
              <w:rPr>
                <w:sz w:val="26"/>
                <w:szCs w:val="26"/>
              </w:rPr>
            </w:pPr>
            <w:r w:rsidRPr="00F353BA">
              <w:rPr>
                <w:sz w:val="26"/>
                <w:szCs w:val="26"/>
              </w:rPr>
              <w:t>- Thay chân cho ghế The One mã SG711.</w:t>
            </w:r>
            <w:r w:rsidRPr="00F353BA">
              <w:rPr>
                <w:sz w:val="26"/>
                <w:szCs w:val="26"/>
              </w:rPr>
              <w:br/>
              <w:t>- Chân ghế xoay 5 cánh bằng nhựa đúc màu đen bao gồm bánh xe.</w:t>
            </w:r>
            <w:r w:rsidRPr="00F353BA">
              <w:rPr>
                <w:sz w:val="26"/>
                <w:szCs w:val="26"/>
              </w:rPr>
              <w:br/>
              <w:t>- Lỗ gắn ben hơi đường kính 50mm, lỗ gắn bánh xe 11mm.</w:t>
            </w:r>
            <w:r w:rsidRPr="00F353BA">
              <w:rPr>
                <w:sz w:val="26"/>
                <w:szCs w:val="26"/>
              </w:rPr>
              <w:br/>
              <w:t>- Tải trọng &gt;= 100kg.</w:t>
            </w:r>
            <w:r w:rsidRPr="00F353BA">
              <w:rPr>
                <w:sz w:val="26"/>
                <w:szCs w:val="26"/>
              </w:rPr>
              <w:br/>
              <w:t>- Kích thước: Ø590mm.</w:t>
            </w:r>
            <w:r w:rsidRPr="00F353BA">
              <w:rPr>
                <w:sz w:val="26"/>
                <w:szCs w:val="26"/>
              </w:rPr>
              <w:br/>
              <w:t>- Lắp đặt tương thích/phù hợp với ghế hiện hữu.</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5</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Ben hơi</w:t>
            </w:r>
          </w:p>
        </w:tc>
        <w:tc>
          <w:tcPr>
            <w:tcW w:w="3870" w:type="dxa"/>
          </w:tcPr>
          <w:p w:rsidR="00F353BA" w:rsidRPr="00F353BA" w:rsidRDefault="00F353BA" w:rsidP="00F353BA">
            <w:pPr>
              <w:rPr>
                <w:sz w:val="26"/>
                <w:szCs w:val="26"/>
              </w:rPr>
            </w:pPr>
            <w:r w:rsidRPr="00F353BA">
              <w:rPr>
                <w:sz w:val="26"/>
                <w:szCs w:val="26"/>
              </w:rPr>
              <w:t>- Dùng để lắp vào các ghế xoay The One mã SG550, SG711, SB06 và các loại tương tự khác.</w:t>
            </w:r>
            <w:r w:rsidRPr="00F353BA">
              <w:rPr>
                <w:sz w:val="26"/>
                <w:szCs w:val="26"/>
              </w:rPr>
              <w:br/>
              <w:t>- Chất liệu vỏ sắt sơn tĩnh điện màu đen, lõi sắt xi mạ, sử dụng cho các loại ghế xoay.</w:t>
            </w:r>
            <w:r w:rsidRPr="00F353BA">
              <w:rPr>
                <w:sz w:val="26"/>
                <w:szCs w:val="26"/>
              </w:rPr>
              <w:br/>
              <w:t>- Đường kính ngoài ben hơi: 50mm.</w:t>
            </w:r>
            <w:r w:rsidRPr="00F353BA">
              <w:rPr>
                <w:sz w:val="26"/>
                <w:szCs w:val="26"/>
              </w:rPr>
              <w:br/>
              <w:t>- Chiều dài ben hơi: 300mm.</w:t>
            </w:r>
            <w:r w:rsidRPr="00F353BA">
              <w:rPr>
                <w:sz w:val="26"/>
                <w:szCs w:val="26"/>
              </w:rPr>
              <w:br/>
              <w:t>- Chiều dài tối đa khi nâng 430mm.</w:t>
            </w:r>
            <w:r w:rsidRPr="00F353BA">
              <w:rPr>
                <w:sz w:val="26"/>
                <w:szCs w:val="26"/>
              </w:rPr>
              <w:br/>
              <w:t>- Tải trọng &gt;= 190kg.</w:t>
            </w:r>
            <w:r w:rsidRPr="00F353BA">
              <w:rPr>
                <w:sz w:val="26"/>
                <w:szCs w:val="26"/>
              </w:rPr>
              <w:br/>
              <w:t xml:space="preserve">- Lắp đặt tương thích/phù hợp với </w:t>
            </w:r>
            <w:r w:rsidRPr="00F353BA">
              <w:rPr>
                <w:sz w:val="26"/>
                <w:szCs w:val="26"/>
              </w:rPr>
              <w:lastRenderedPageBreak/>
              <w:t>ghế hiện hữu.</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color w:val="000000"/>
                <w:sz w:val="26"/>
                <w:szCs w:val="26"/>
              </w:rPr>
            </w:pPr>
            <w:r w:rsidRPr="00F353BA">
              <w:rPr>
                <w:color w:val="000000"/>
                <w:sz w:val="26"/>
                <w:szCs w:val="26"/>
              </w:rPr>
              <w:t>cái</w:t>
            </w:r>
          </w:p>
        </w:tc>
        <w:tc>
          <w:tcPr>
            <w:tcW w:w="810" w:type="dxa"/>
            <w:vAlign w:val="center"/>
          </w:tcPr>
          <w:p w:rsidR="00F353BA" w:rsidRPr="00F353BA" w:rsidRDefault="00F353BA" w:rsidP="00F353BA">
            <w:pPr>
              <w:jc w:val="center"/>
              <w:rPr>
                <w:color w:val="000000"/>
                <w:sz w:val="26"/>
                <w:szCs w:val="26"/>
              </w:rPr>
            </w:pPr>
            <w:r w:rsidRPr="00F353BA">
              <w:rPr>
                <w:color w:val="000000"/>
                <w:sz w:val="26"/>
                <w:szCs w:val="26"/>
              </w:rPr>
              <w:t>101</w:t>
            </w:r>
          </w:p>
        </w:tc>
        <w:tc>
          <w:tcPr>
            <w:tcW w:w="1350" w:type="dxa"/>
            <w:vAlign w:val="center"/>
          </w:tcPr>
          <w:p w:rsidR="00F353BA" w:rsidRPr="00F353BA" w:rsidRDefault="00F353BA" w:rsidP="00F353BA">
            <w:pPr>
              <w:jc w:val="center"/>
              <w:rPr>
                <w:color w:val="000000"/>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Bản lề lắp trùm ngoài</w:t>
            </w:r>
          </w:p>
        </w:tc>
        <w:tc>
          <w:tcPr>
            <w:tcW w:w="3870" w:type="dxa"/>
          </w:tcPr>
          <w:p w:rsidR="00F353BA" w:rsidRPr="00F353BA" w:rsidRDefault="00F353BA" w:rsidP="00F353BA">
            <w:pPr>
              <w:rPr>
                <w:sz w:val="26"/>
                <w:szCs w:val="26"/>
              </w:rPr>
            </w:pPr>
            <w:r w:rsidRPr="00F353BA">
              <w:rPr>
                <w:sz w:val="26"/>
                <w:szCs w:val="26"/>
              </w:rPr>
              <w:t>- Chất liệu: sắt/thép.</w:t>
            </w:r>
            <w:r w:rsidRPr="00F353BA">
              <w:rPr>
                <w:sz w:val="26"/>
                <w:szCs w:val="26"/>
              </w:rPr>
              <w:br/>
              <w:t>- Bản lề bật, đóng giảm chấn.</w:t>
            </w:r>
            <w:r w:rsidRPr="00F353BA">
              <w:rPr>
                <w:sz w:val="26"/>
                <w:szCs w:val="26"/>
              </w:rPr>
              <w:br/>
              <w:t>- Có khả năng điều chỉnh các mặt bên, chiều cao, chiều sâu.</w:t>
            </w:r>
            <w:r w:rsidRPr="00F353BA">
              <w:rPr>
                <w:sz w:val="26"/>
                <w:szCs w:val="26"/>
              </w:rPr>
              <w:br/>
              <w:t>- Chiều sâu khoan chén phù hợp với độ dày ván 18mm.</w:t>
            </w:r>
            <w:r w:rsidRPr="00F353BA">
              <w:rPr>
                <w:sz w:val="26"/>
                <w:szCs w:val="26"/>
              </w:rPr>
              <w:br/>
              <w:t>- Bao gồm ốc, vít phù hợp để lắp đặt.</w:t>
            </w:r>
            <w:r w:rsidRPr="00F353BA">
              <w:rPr>
                <w:sz w:val="26"/>
                <w:szCs w:val="26"/>
              </w:rPr>
              <w:br/>
              <w:t>- Giao hàng từng đợt theo yêu cầu của bệnh viện.</w:t>
            </w:r>
          </w:p>
          <w:p w:rsidR="00F353BA" w:rsidRPr="00F353BA" w:rsidRDefault="00F353BA" w:rsidP="00F353BA">
            <w:pPr>
              <w:rPr>
                <w:i/>
                <w:sz w:val="26"/>
                <w:szCs w:val="26"/>
              </w:rPr>
            </w:pPr>
            <w:r w:rsidRPr="00F353BA">
              <w:rPr>
                <w:i/>
                <w:sz w:val="26"/>
                <w:szCs w:val="26"/>
              </w:rPr>
              <w:t>(Bản lề mã 315.11.750 của Hafele hoặc tương đương)</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97</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Bản lề lắp trùm nửa</w:t>
            </w:r>
          </w:p>
        </w:tc>
        <w:tc>
          <w:tcPr>
            <w:tcW w:w="3870" w:type="dxa"/>
          </w:tcPr>
          <w:p w:rsidR="00F353BA" w:rsidRPr="00F353BA" w:rsidRDefault="00F353BA" w:rsidP="00F353BA">
            <w:pPr>
              <w:rPr>
                <w:sz w:val="26"/>
                <w:szCs w:val="26"/>
              </w:rPr>
            </w:pPr>
            <w:r w:rsidRPr="00F353BA">
              <w:rPr>
                <w:sz w:val="26"/>
                <w:szCs w:val="26"/>
              </w:rPr>
              <w:t>- Chất liệu: sắt/thép.</w:t>
            </w:r>
            <w:r w:rsidRPr="00F353BA">
              <w:rPr>
                <w:sz w:val="26"/>
                <w:szCs w:val="26"/>
              </w:rPr>
              <w:br/>
              <w:t>- Bản lề bật, đóng giảm chấn.</w:t>
            </w:r>
            <w:r w:rsidRPr="00F353BA">
              <w:rPr>
                <w:sz w:val="26"/>
                <w:szCs w:val="26"/>
              </w:rPr>
              <w:br/>
              <w:t>- Có khả năng điều chỉnh các mặt bên, chiều cao, chiều sâu.</w:t>
            </w:r>
            <w:r w:rsidRPr="00F353BA">
              <w:rPr>
                <w:sz w:val="26"/>
                <w:szCs w:val="26"/>
              </w:rPr>
              <w:br/>
              <w:t>- Chiều sâu khoan chén phù hợp với độ dày ván 18mm.</w:t>
            </w:r>
            <w:r w:rsidRPr="00F353BA">
              <w:rPr>
                <w:sz w:val="26"/>
                <w:szCs w:val="26"/>
              </w:rPr>
              <w:br/>
              <w:t>- Bao gồm ốc, vít phù hợp để lắp đặt.</w:t>
            </w:r>
            <w:r w:rsidRPr="00F353BA">
              <w:rPr>
                <w:sz w:val="26"/>
                <w:szCs w:val="26"/>
              </w:rPr>
              <w:br/>
              <w:t>- Giao hàng từng đợt theo yêu cầu của bệnh viện.</w:t>
            </w:r>
          </w:p>
          <w:p w:rsidR="00F353BA" w:rsidRPr="00F353BA" w:rsidRDefault="00F353BA" w:rsidP="00F353BA">
            <w:pPr>
              <w:rPr>
                <w:i/>
                <w:sz w:val="26"/>
                <w:szCs w:val="26"/>
              </w:rPr>
            </w:pPr>
            <w:r w:rsidRPr="00F353BA">
              <w:rPr>
                <w:i/>
                <w:sz w:val="26"/>
                <w:szCs w:val="26"/>
              </w:rPr>
              <w:t>(Bản lề mã 315.11.751 của Hafele hoặc tương đương)</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62</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Bản lề lắp lọt lòng</w:t>
            </w:r>
          </w:p>
        </w:tc>
        <w:tc>
          <w:tcPr>
            <w:tcW w:w="3870" w:type="dxa"/>
          </w:tcPr>
          <w:p w:rsidR="00F353BA" w:rsidRPr="00F353BA" w:rsidRDefault="00F353BA" w:rsidP="00F353BA">
            <w:pPr>
              <w:rPr>
                <w:sz w:val="26"/>
                <w:szCs w:val="26"/>
              </w:rPr>
            </w:pPr>
            <w:r w:rsidRPr="00F353BA">
              <w:rPr>
                <w:sz w:val="26"/>
                <w:szCs w:val="26"/>
              </w:rPr>
              <w:t>- Chất liệu: sắt/thép.</w:t>
            </w:r>
            <w:r w:rsidRPr="00F353BA">
              <w:rPr>
                <w:sz w:val="26"/>
                <w:szCs w:val="26"/>
              </w:rPr>
              <w:br/>
              <w:t>- Bản lề bật, đóng giảm chấn.</w:t>
            </w:r>
            <w:r w:rsidRPr="00F353BA">
              <w:rPr>
                <w:sz w:val="26"/>
                <w:szCs w:val="26"/>
              </w:rPr>
              <w:br/>
            </w:r>
            <w:r w:rsidRPr="00F353BA">
              <w:rPr>
                <w:sz w:val="26"/>
                <w:szCs w:val="26"/>
              </w:rPr>
              <w:lastRenderedPageBreak/>
              <w:t>- Có khả năng điều chỉnh các mặt bên, chiều cao, chiều sâu.</w:t>
            </w:r>
            <w:r w:rsidRPr="00F353BA">
              <w:rPr>
                <w:sz w:val="26"/>
                <w:szCs w:val="26"/>
              </w:rPr>
              <w:br/>
              <w:t>- Chiều sâu khoan chén phù hợp với độ dày ván 18mm.</w:t>
            </w:r>
            <w:r w:rsidRPr="00F353BA">
              <w:rPr>
                <w:sz w:val="26"/>
                <w:szCs w:val="26"/>
              </w:rPr>
              <w:br/>
              <w:t>- Bao gồm ốc, vít phù hợp để lắp đặt.</w:t>
            </w:r>
            <w:r w:rsidRPr="00F353BA">
              <w:rPr>
                <w:sz w:val="26"/>
                <w:szCs w:val="26"/>
              </w:rPr>
              <w:br/>
              <w:t>- Giao hàng từng đợt theo yêu cầu của bệnh viện.</w:t>
            </w:r>
          </w:p>
          <w:p w:rsidR="00F353BA" w:rsidRPr="00F353BA" w:rsidRDefault="00F353BA" w:rsidP="00F353BA">
            <w:pPr>
              <w:rPr>
                <w:i/>
                <w:sz w:val="26"/>
                <w:szCs w:val="26"/>
              </w:rPr>
            </w:pPr>
            <w:r w:rsidRPr="00F353BA">
              <w:rPr>
                <w:i/>
                <w:sz w:val="26"/>
                <w:szCs w:val="26"/>
              </w:rPr>
              <w:t>(Bản lề mã 315.11.752 của Hafele hoặc tương đương)</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22</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Khóa vuông (Tủ gỗ)</w:t>
            </w:r>
          </w:p>
        </w:tc>
        <w:tc>
          <w:tcPr>
            <w:tcW w:w="3870" w:type="dxa"/>
          </w:tcPr>
          <w:p w:rsidR="00F353BA" w:rsidRPr="00F353BA" w:rsidRDefault="00F353BA" w:rsidP="00F353BA">
            <w:pPr>
              <w:rPr>
                <w:sz w:val="26"/>
                <w:szCs w:val="26"/>
              </w:rPr>
            </w:pPr>
            <w:r w:rsidRPr="00F353BA">
              <w:rPr>
                <w:sz w:val="26"/>
                <w:szCs w:val="26"/>
              </w:rPr>
              <w:t>- Chất liệu: hợp kim kẽm.</w:t>
            </w:r>
            <w:r w:rsidRPr="00F353BA">
              <w:rPr>
                <w:sz w:val="26"/>
                <w:szCs w:val="26"/>
              </w:rPr>
              <w:br/>
              <w:t>- Đường kính trụ lõi: 18-19mm.</w:t>
            </w:r>
            <w:r w:rsidRPr="00F353BA">
              <w:rPr>
                <w:sz w:val="26"/>
                <w:szCs w:val="26"/>
              </w:rPr>
              <w:br/>
              <w:t>- Khoảng cách từ tâm trụ lõi đến mặt vuông chốt gài: 24-25mm.</w:t>
            </w:r>
            <w:r w:rsidRPr="00F353BA">
              <w:rPr>
                <w:sz w:val="26"/>
                <w:szCs w:val="26"/>
              </w:rPr>
              <w:br/>
              <w:t>- Bao gồm ốc, vít phù hợp để lắp đặt.</w:t>
            </w:r>
            <w:r w:rsidRPr="00F353BA">
              <w:rPr>
                <w:sz w:val="26"/>
                <w:szCs w:val="26"/>
              </w:rPr>
              <w:br/>
              <w:t>- Giao hàng từng đợt theo yêu cầu của bệnh viện.</w:t>
            </w:r>
          </w:p>
          <w:p w:rsidR="00F353BA" w:rsidRPr="00F353BA" w:rsidRDefault="00F353BA" w:rsidP="00F353BA">
            <w:pPr>
              <w:rPr>
                <w:i/>
                <w:sz w:val="26"/>
                <w:szCs w:val="26"/>
              </w:rPr>
            </w:pPr>
            <w:r w:rsidRPr="00F353BA">
              <w:rPr>
                <w:i/>
                <w:sz w:val="26"/>
                <w:szCs w:val="26"/>
              </w:rPr>
              <w:t>(Bản lề mã 232.01.220 của Hafele hoặc tương đương)</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32</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Khóa trung tâm có lõi xoay (Tủ gỗ)</w:t>
            </w:r>
          </w:p>
        </w:tc>
        <w:tc>
          <w:tcPr>
            <w:tcW w:w="3870" w:type="dxa"/>
          </w:tcPr>
          <w:p w:rsidR="00F353BA" w:rsidRPr="00F353BA" w:rsidRDefault="00F353BA" w:rsidP="00F353BA">
            <w:pPr>
              <w:rPr>
                <w:sz w:val="26"/>
                <w:szCs w:val="26"/>
              </w:rPr>
            </w:pPr>
            <w:r w:rsidRPr="00F353BA">
              <w:rPr>
                <w:sz w:val="26"/>
                <w:szCs w:val="26"/>
              </w:rPr>
              <w:t>- Chất liệu: hợp kim kẽm.</w:t>
            </w:r>
            <w:r w:rsidRPr="00F353BA">
              <w:rPr>
                <w:sz w:val="26"/>
                <w:szCs w:val="26"/>
              </w:rPr>
              <w:br/>
              <w:t>- Đường kính trụ lõi: 18-19mm.</w:t>
            </w:r>
            <w:r w:rsidRPr="00F353BA">
              <w:rPr>
                <w:sz w:val="26"/>
                <w:szCs w:val="26"/>
              </w:rPr>
              <w:br/>
              <w:t>- Đường kính trụ chốt gài: ≥5mm.</w:t>
            </w:r>
            <w:r w:rsidRPr="00F353BA">
              <w:rPr>
                <w:sz w:val="26"/>
                <w:szCs w:val="26"/>
              </w:rPr>
              <w:br/>
              <w:t>- Chiều dài trụ chốt gài: ≥40mm.</w:t>
            </w:r>
            <w:r w:rsidRPr="00F353BA">
              <w:rPr>
                <w:sz w:val="26"/>
                <w:szCs w:val="26"/>
              </w:rPr>
              <w:br/>
              <w:t>- Bao gồm ốc, vít phù hợp để lắp đặt.</w:t>
            </w:r>
            <w:r w:rsidRPr="00F353BA">
              <w:rPr>
                <w:sz w:val="26"/>
                <w:szCs w:val="26"/>
              </w:rPr>
              <w:br/>
              <w:t>- Giao hàng từng đợt theo yêu cầu của bệnh viện.</w:t>
            </w:r>
          </w:p>
          <w:p w:rsidR="00F353BA" w:rsidRPr="00F353BA" w:rsidRDefault="00F353BA" w:rsidP="00F353BA">
            <w:pPr>
              <w:rPr>
                <w:i/>
                <w:sz w:val="26"/>
                <w:szCs w:val="26"/>
              </w:rPr>
            </w:pPr>
            <w:r w:rsidRPr="00F353BA">
              <w:rPr>
                <w:i/>
                <w:sz w:val="26"/>
                <w:szCs w:val="26"/>
              </w:rPr>
              <w:t xml:space="preserve">(Bản lề mã 234.99.240 của Hafele </w:t>
            </w:r>
            <w:r w:rsidRPr="00F353BA">
              <w:rPr>
                <w:i/>
                <w:sz w:val="26"/>
                <w:szCs w:val="26"/>
              </w:rPr>
              <w:lastRenderedPageBreak/>
              <w:t>hoặc tương đương)</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34</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Khóa tủ locker sắt</w:t>
            </w:r>
          </w:p>
        </w:tc>
        <w:tc>
          <w:tcPr>
            <w:tcW w:w="3870" w:type="dxa"/>
          </w:tcPr>
          <w:p w:rsidR="00F353BA" w:rsidRPr="00F353BA" w:rsidRDefault="00F353BA" w:rsidP="00F353BA">
            <w:pPr>
              <w:rPr>
                <w:sz w:val="26"/>
                <w:szCs w:val="26"/>
              </w:rPr>
            </w:pPr>
            <w:r w:rsidRPr="00F353BA">
              <w:rPr>
                <w:sz w:val="26"/>
                <w:szCs w:val="26"/>
              </w:rPr>
              <w:t>- Chất liệu: hợp kim kẽm.</w:t>
            </w:r>
            <w:r w:rsidRPr="00F353BA">
              <w:rPr>
                <w:sz w:val="26"/>
                <w:szCs w:val="26"/>
              </w:rPr>
              <w:br/>
              <w:t>- Khóa dành cho tủ locker sắt. Tủ đang sử dụng là tủ sắt The One mã TU982, TU983, TU984 hoặc loại tương tự.</w:t>
            </w:r>
            <w:r w:rsidRPr="00F353BA">
              <w:rPr>
                <w:sz w:val="26"/>
                <w:szCs w:val="26"/>
              </w:rPr>
              <w:br/>
              <w:t>- Bao gồm ốc, vít phù hợp để lắp đặt.</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86</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Ray bi dài 300mm</w:t>
            </w:r>
          </w:p>
        </w:tc>
        <w:tc>
          <w:tcPr>
            <w:tcW w:w="3870" w:type="dxa"/>
          </w:tcPr>
          <w:p w:rsidR="00F353BA" w:rsidRPr="00F353BA" w:rsidRDefault="00F353BA" w:rsidP="00F353BA">
            <w:pPr>
              <w:rPr>
                <w:sz w:val="26"/>
                <w:szCs w:val="26"/>
              </w:rPr>
            </w:pPr>
            <w:r w:rsidRPr="00F353BA">
              <w:rPr>
                <w:sz w:val="26"/>
                <w:szCs w:val="26"/>
              </w:rPr>
              <w:t>- Ray bi 3 tầng giảm chấn.</w:t>
            </w:r>
            <w:r w:rsidRPr="00F353BA">
              <w:rPr>
                <w:sz w:val="26"/>
                <w:szCs w:val="26"/>
              </w:rPr>
              <w:br/>
              <w:t>- Chất liệu: sắt/thép mạ kẽm.</w:t>
            </w:r>
            <w:r w:rsidRPr="00F353BA">
              <w:rPr>
                <w:sz w:val="26"/>
                <w:szCs w:val="26"/>
              </w:rPr>
              <w:br/>
              <w:t>- Chiều dài 300mm.</w:t>
            </w:r>
            <w:r w:rsidRPr="00F353BA">
              <w:rPr>
                <w:sz w:val="26"/>
                <w:szCs w:val="26"/>
              </w:rPr>
              <w:br/>
              <w:t>- Chiều cao ≥42mm.</w:t>
            </w:r>
            <w:r w:rsidRPr="00F353BA">
              <w:rPr>
                <w:sz w:val="26"/>
                <w:szCs w:val="26"/>
              </w:rPr>
              <w:br/>
              <w:t>- Tải trọng từ 30kg trở lên.</w:t>
            </w:r>
            <w:r w:rsidRPr="00F353BA">
              <w:rPr>
                <w:sz w:val="26"/>
                <w:szCs w:val="26"/>
              </w:rPr>
              <w:br/>
              <w:t>- Bao gồm ốc, vít phù hợp để lắp đặt.</w:t>
            </w:r>
            <w:r w:rsidRPr="00F353BA">
              <w:rPr>
                <w:sz w:val="26"/>
                <w:szCs w:val="26"/>
              </w:rPr>
              <w:br/>
              <w:t>- Giao hàng từng đợt theo yêu cầu của bệnh viện.</w:t>
            </w:r>
          </w:p>
          <w:p w:rsidR="00F353BA" w:rsidRPr="00F353BA" w:rsidRDefault="00F353BA" w:rsidP="00F353BA">
            <w:pPr>
              <w:rPr>
                <w:i/>
                <w:sz w:val="26"/>
                <w:szCs w:val="26"/>
              </w:rPr>
            </w:pPr>
            <w:r w:rsidRPr="00F353BA">
              <w:rPr>
                <w:i/>
                <w:sz w:val="26"/>
                <w:szCs w:val="26"/>
              </w:rPr>
              <w:t>(Bản lề mã 494.02.061 của Hafele hoặc tương đương)</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cặp</w:t>
            </w:r>
          </w:p>
        </w:tc>
        <w:tc>
          <w:tcPr>
            <w:tcW w:w="810" w:type="dxa"/>
            <w:vAlign w:val="center"/>
          </w:tcPr>
          <w:p w:rsidR="00F353BA" w:rsidRPr="00F353BA" w:rsidRDefault="00F353BA" w:rsidP="00F353BA">
            <w:pPr>
              <w:jc w:val="center"/>
              <w:rPr>
                <w:sz w:val="26"/>
                <w:szCs w:val="26"/>
              </w:rPr>
            </w:pPr>
            <w:r w:rsidRPr="00F353BA">
              <w:rPr>
                <w:sz w:val="26"/>
                <w:szCs w:val="26"/>
              </w:rPr>
              <w:t>30</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Ray bi dài 350mm</w:t>
            </w:r>
          </w:p>
        </w:tc>
        <w:tc>
          <w:tcPr>
            <w:tcW w:w="3870" w:type="dxa"/>
          </w:tcPr>
          <w:p w:rsidR="00F353BA" w:rsidRPr="00F353BA" w:rsidRDefault="00F353BA" w:rsidP="00F353BA">
            <w:pPr>
              <w:rPr>
                <w:sz w:val="26"/>
                <w:szCs w:val="26"/>
              </w:rPr>
            </w:pPr>
            <w:r w:rsidRPr="00F353BA">
              <w:rPr>
                <w:sz w:val="26"/>
                <w:szCs w:val="26"/>
              </w:rPr>
              <w:t>- Ray bi 3 tầng giảm chấn.</w:t>
            </w:r>
            <w:r w:rsidRPr="00F353BA">
              <w:rPr>
                <w:sz w:val="26"/>
                <w:szCs w:val="26"/>
              </w:rPr>
              <w:br/>
              <w:t>- Chất liệu: sắt/thép mạ kẽm.</w:t>
            </w:r>
            <w:r w:rsidRPr="00F353BA">
              <w:rPr>
                <w:sz w:val="26"/>
                <w:szCs w:val="26"/>
              </w:rPr>
              <w:br/>
              <w:t>- Chiều dài 350mm.</w:t>
            </w:r>
            <w:r w:rsidRPr="00F353BA">
              <w:rPr>
                <w:sz w:val="26"/>
                <w:szCs w:val="26"/>
              </w:rPr>
              <w:br/>
              <w:t>- Chiều cao ≥42mm.</w:t>
            </w:r>
            <w:r w:rsidRPr="00F353BA">
              <w:rPr>
                <w:sz w:val="26"/>
                <w:szCs w:val="26"/>
              </w:rPr>
              <w:br/>
              <w:t>- Tải trọng từ 30kg trở lên.</w:t>
            </w:r>
            <w:r w:rsidRPr="00F353BA">
              <w:rPr>
                <w:sz w:val="26"/>
                <w:szCs w:val="26"/>
              </w:rPr>
              <w:br/>
              <w:t>- Bao gồm ốc, vít phù hợp để lắp đặt.</w:t>
            </w:r>
            <w:r w:rsidRPr="00F353BA">
              <w:rPr>
                <w:sz w:val="26"/>
                <w:szCs w:val="26"/>
              </w:rPr>
              <w:br/>
              <w:t xml:space="preserve">- Giao hàng từng đợt theo yêu cầu </w:t>
            </w:r>
            <w:r w:rsidRPr="00F353BA">
              <w:rPr>
                <w:sz w:val="26"/>
                <w:szCs w:val="26"/>
              </w:rPr>
              <w:lastRenderedPageBreak/>
              <w:t>của bệnh viện.</w:t>
            </w:r>
          </w:p>
          <w:p w:rsidR="00F353BA" w:rsidRPr="00F353BA" w:rsidRDefault="00F353BA" w:rsidP="00F353BA">
            <w:pPr>
              <w:rPr>
                <w:i/>
                <w:sz w:val="26"/>
                <w:szCs w:val="26"/>
              </w:rPr>
            </w:pPr>
            <w:r w:rsidRPr="00F353BA">
              <w:rPr>
                <w:i/>
                <w:sz w:val="26"/>
                <w:szCs w:val="26"/>
              </w:rPr>
              <w:t>(Bản lề mã 494.02.062 của Hafele hoặc tương đương)</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cặp</w:t>
            </w:r>
          </w:p>
        </w:tc>
        <w:tc>
          <w:tcPr>
            <w:tcW w:w="810" w:type="dxa"/>
            <w:vAlign w:val="center"/>
          </w:tcPr>
          <w:p w:rsidR="00F353BA" w:rsidRPr="00F353BA" w:rsidRDefault="00F353BA" w:rsidP="00F353BA">
            <w:pPr>
              <w:jc w:val="center"/>
              <w:rPr>
                <w:sz w:val="26"/>
                <w:szCs w:val="26"/>
              </w:rPr>
            </w:pPr>
            <w:r w:rsidRPr="00F353BA">
              <w:rPr>
                <w:sz w:val="26"/>
                <w:szCs w:val="26"/>
              </w:rPr>
              <w:t>29</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Tay nắm thanh</w:t>
            </w:r>
          </w:p>
        </w:tc>
        <w:tc>
          <w:tcPr>
            <w:tcW w:w="3870" w:type="dxa"/>
          </w:tcPr>
          <w:p w:rsidR="00F353BA" w:rsidRPr="00F353BA" w:rsidRDefault="00F353BA" w:rsidP="00F353BA">
            <w:pPr>
              <w:rPr>
                <w:sz w:val="26"/>
                <w:szCs w:val="26"/>
              </w:rPr>
            </w:pPr>
            <w:r w:rsidRPr="00F353BA">
              <w:rPr>
                <w:sz w:val="26"/>
                <w:szCs w:val="26"/>
              </w:rPr>
              <w:t>- Tay nắm dạng thanh gắn cho tủ gỗ.</w:t>
            </w:r>
            <w:r w:rsidRPr="00F353BA">
              <w:rPr>
                <w:sz w:val="26"/>
                <w:szCs w:val="26"/>
              </w:rPr>
              <w:br/>
              <w:t>- Chất liệu: sắt/thép/nhôm mạ.</w:t>
            </w:r>
            <w:r w:rsidRPr="00F353BA">
              <w:rPr>
                <w:sz w:val="26"/>
                <w:szCs w:val="26"/>
              </w:rPr>
              <w:br/>
              <w:t>- Khoảng cách lỗ vít 92 đến 96mm gắn tương thích/phù hợp vào lỗ vít của tay nắm hiện hữu bị hỏng.</w:t>
            </w:r>
            <w:r w:rsidRPr="00F353BA">
              <w:rPr>
                <w:sz w:val="26"/>
                <w:szCs w:val="26"/>
              </w:rPr>
              <w:br/>
              <w:t>- Chiều ngang tay nắm 110 đến 140mm.</w:t>
            </w:r>
            <w:r w:rsidRPr="00F353BA">
              <w:rPr>
                <w:sz w:val="26"/>
                <w:szCs w:val="26"/>
              </w:rPr>
              <w:br/>
              <w:t>- Bản rộng 12 đến 22mm.</w:t>
            </w:r>
            <w:r w:rsidRPr="00F353BA">
              <w:rPr>
                <w:sz w:val="26"/>
                <w:szCs w:val="26"/>
              </w:rPr>
              <w:br/>
              <w:t>- Bao gồm ốc, vít phù hợp để lắp đặt.</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24</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Tay nắm tròn</w:t>
            </w:r>
          </w:p>
        </w:tc>
        <w:tc>
          <w:tcPr>
            <w:tcW w:w="3870" w:type="dxa"/>
          </w:tcPr>
          <w:p w:rsidR="00F353BA" w:rsidRPr="00F353BA" w:rsidRDefault="00F353BA" w:rsidP="00F353BA">
            <w:pPr>
              <w:rPr>
                <w:sz w:val="26"/>
                <w:szCs w:val="26"/>
              </w:rPr>
            </w:pPr>
            <w:r w:rsidRPr="00F353BA">
              <w:rPr>
                <w:sz w:val="26"/>
                <w:szCs w:val="26"/>
              </w:rPr>
              <w:t>- Tay nắm gắn cho tủ locker sắt.</w:t>
            </w:r>
            <w:r w:rsidRPr="00F353BA">
              <w:rPr>
                <w:sz w:val="26"/>
                <w:szCs w:val="26"/>
              </w:rPr>
              <w:br/>
              <w:t>- Chất liệu: sắt/thép/nhôm mạ.</w:t>
            </w:r>
            <w:r w:rsidRPr="00F353BA">
              <w:rPr>
                <w:sz w:val="26"/>
                <w:szCs w:val="26"/>
              </w:rPr>
              <w:br/>
              <w:t>- Kích thước: đường kính 20 đến 30mm.</w:t>
            </w:r>
            <w:r w:rsidRPr="00F353BA">
              <w:rPr>
                <w:sz w:val="26"/>
                <w:szCs w:val="26"/>
              </w:rPr>
              <w:br/>
              <w:t>- Bao gồm ốc, vít phù hợp để lắp đặt.</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110</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(1600 x 800 x 800)mm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 xml:space="preserve">-Tháo bỏ simili cũ, bọc simili mới </w:t>
            </w:r>
            <w:r w:rsidRPr="00F353BA">
              <w:rPr>
                <w:sz w:val="26"/>
                <w:szCs w:val="26"/>
              </w:rPr>
              <w:lastRenderedPageBreak/>
              <w:t>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1</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(2000 x 700 x 850)mm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w:t>
            </w:r>
            <w:r w:rsidRPr="00F353BA">
              <w:rPr>
                <w:sz w:val="26"/>
                <w:szCs w:val="26"/>
              </w:rPr>
              <w:lastRenderedPageBreak/>
              <w:t xml:space="preserve">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2</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(3250 x 760 x 890)mm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2</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(3700 x 720 x 830)mm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1</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(4150 x 800 x 750)mm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xml:space="preserve">- Gia cố lại các khung xương, chân </w:t>
            </w:r>
            <w:r w:rsidRPr="00F353BA">
              <w:rPr>
                <w:sz w:val="26"/>
                <w:szCs w:val="26"/>
              </w:rPr>
              <w:lastRenderedPageBreak/>
              <w:t>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1</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(4450 x 760 x 800)mm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xml:space="preserve">- Trong thời gian bọc lại sofa, nhà thầu chịu trách nhiệm vận chuyển </w:t>
            </w:r>
            <w:r w:rsidRPr="00F353BA">
              <w:rPr>
                <w:sz w:val="26"/>
                <w:szCs w:val="26"/>
              </w:rPr>
              <w:lastRenderedPageBreak/>
              <w:t>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1</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(4600 x 760 x 830)mm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1</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(4500 x 700 x 850)mm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xml:space="preserve">- Lót thêm mút cho các ghế bị xẹp </w:t>
            </w:r>
            <w:r w:rsidRPr="00F353BA">
              <w:rPr>
                <w:sz w:val="26"/>
                <w:szCs w:val="26"/>
              </w:rPr>
              <w:lastRenderedPageBreak/>
              <w:t>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1</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(4500 x 800 x 830)mm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w:t>
            </w:r>
            <w:r w:rsidRPr="00F353BA">
              <w:rPr>
                <w:sz w:val="26"/>
                <w:szCs w:val="26"/>
              </w:rPr>
              <w:lastRenderedPageBreak/>
              <w:t xml:space="preserve">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1</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(4700 x 750 x 800)mm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xml:space="preserve">- Trong thời gian bọc lại sofa, nhà thầu chịu trách nhiệm vận chuyển ghế từ vị trí khác trong bệnh viện đến để có ghế cho đơn vị sử dụng tạm và trả ghế lại tại vị trí ban đầu </w:t>
            </w:r>
            <w:r w:rsidRPr="00F353BA">
              <w:rPr>
                <w:sz w:val="26"/>
                <w:szCs w:val="26"/>
              </w:rPr>
              <w:lastRenderedPageBreak/>
              <w:t>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bộ</w:t>
            </w:r>
          </w:p>
        </w:tc>
        <w:tc>
          <w:tcPr>
            <w:tcW w:w="810" w:type="dxa"/>
            <w:vAlign w:val="center"/>
          </w:tcPr>
          <w:p w:rsidR="00F353BA" w:rsidRPr="00F353BA" w:rsidRDefault="00F353BA" w:rsidP="00F353BA">
            <w:pPr>
              <w:jc w:val="center"/>
              <w:rPr>
                <w:sz w:val="26"/>
                <w:szCs w:val="26"/>
              </w:rPr>
            </w:pPr>
            <w:r w:rsidRPr="00F353BA">
              <w:rPr>
                <w:sz w:val="26"/>
                <w:szCs w:val="26"/>
              </w:rPr>
              <w:t>1</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(1500 x 650 x 770)mm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10</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(600 x 620 x 760)mm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 xml:space="preserve">-Tháo bỏ simili cũ, bọc simili mới loại tốt, màu sắc theo lựa chọn của </w:t>
            </w:r>
            <w:r w:rsidRPr="00F353BA">
              <w:rPr>
                <w:sz w:val="26"/>
                <w:szCs w:val="26"/>
              </w:rPr>
              <w:lastRenderedPageBreak/>
              <w:t>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47</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(800 x 800 x 750)mm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r>
            <w:r w:rsidRPr="00F353BA">
              <w:rPr>
                <w:sz w:val="26"/>
                <w:szCs w:val="26"/>
              </w:rPr>
              <w:lastRenderedPageBreak/>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2</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Bọc nệm ghế sofa (720 x 750 x 820)mm</w:t>
            </w:r>
          </w:p>
        </w:tc>
        <w:tc>
          <w:tcPr>
            <w:tcW w:w="3870" w:type="dxa"/>
          </w:tcPr>
          <w:p w:rsidR="00F353BA" w:rsidRPr="00F353BA" w:rsidRDefault="00F353BA" w:rsidP="00F353BA">
            <w:pPr>
              <w:rPr>
                <w:sz w:val="26"/>
                <w:szCs w:val="26"/>
              </w:rPr>
            </w:pPr>
            <w:r w:rsidRPr="00F353BA">
              <w:rPr>
                <w:sz w:val="26"/>
                <w:szCs w:val="26"/>
              </w:rPr>
              <w:t>- Bọc lại simili cho ghế sofa hiện hữu.</w:t>
            </w:r>
            <w:r w:rsidRPr="00F353BA">
              <w:rPr>
                <w:sz w:val="26"/>
                <w:szCs w:val="26"/>
              </w:rPr>
              <w:br/>
              <w:t>- Lót thêm mút cho các ghế bị xẹp mút. Dùng mút D40.</w:t>
            </w:r>
            <w:r w:rsidRPr="00F353BA">
              <w:rPr>
                <w:sz w:val="26"/>
                <w:szCs w:val="26"/>
              </w:rPr>
              <w:br/>
              <w:t>-Tháo bỏ simili cũ, bọc simili mới loại tốt, màu sắc theo lựa chọn của bệnh viện.</w:t>
            </w:r>
            <w:r w:rsidRPr="00F353BA">
              <w:rPr>
                <w:sz w:val="26"/>
                <w:szCs w:val="26"/>
              </w:rPr>
              <w:br/>
              <w:t>- Gia cố lại các khung xương, chân ghế, nút chân ghế và các bộ phận khác bị hư hỏng (nếu có).</w:t>
            </w:r>
            <w:r w:rsidRPr="00F353BA">
              <w:rPr>
                <w:sz w:val="26"/>
                <w:szCs w:val="26"/>
              </w:rPr>
              <w:br/>
              <w:t xml:space="preserve">- Nhà thầu vận chuyển ghế từ bệnh viện về xưởng để thực hiện và giao lại cho bệnh viện theo thời gian thỏa thuận. </w:t>
            </w:r>
            <w:r w:rsidRPr="00F353BA">
              <w:rPr>
                <w:sz w:val="26"/>
                <w:szCs w:val="26"/>
              </w:rPr>
              <w:br/>
              <w:t>- Trong thời gian bọc lại sofa, nhà thầu chịu trách nhiệm vận chuyển ghế từ vị trí khác trong bệnh viện đến để có ghế cho đơn vị sử dụng tạm và trả ghế lại tại vị trí ban đầu sau khi đã sửa xong ghế sofa. (Ghế tạm sẽ được bệnh viện cung cấp)</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5</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Nệm giường khám (1600 x 600 x 100)mm</w:t>
            </w:r>
          </w:p>
        </w:tc>
        <w:tc>
          <w:tcPr>
            <w:tcW w:w="3870" w:type="dxa"/>
          </w:tcPr>
          <w:p w:rsidR="00F353BA" w:rsidRPr="00F353BA" w:rsidRDefault="00F353BA" w:rsidP="00F353BA">
            <w:pPr>
              <w:rPr>
                <w:sz w:val="26"/>
                <w:szCs w:val="26"/>
              </w:rPr>
            </w:pPr>
            <w:r w:rsidRPr="00F353BA">
              <w:rPr>
                <w:sz w:val="26"/>
                <w:szCs w:val="26"/>
              </w:rPr>
              <w:t>- Kích thước: (1600 x 600 x 100)mm</w:t>
            </w:r>
            <w:r w:rsidRPr="00F353BA">
              <w:rPr>
                <w:sz w:val="26"/>
                <w:szCs w:val="26"/>
              </w:rPr>
              <w:br/>
              <w:t>- Nệm mút D40.</w:t>
            </w:r>
            <w:r w:rsidRPr="00F353BA">
              <w:rPr>
                <w:sz w:val="26"/>
                <w:szCs w:val="26"/>
              </w:rPr>
              <w:br/>
              <w:t>- Bọc simili mới loại tốt, màu sắc xám ghi.</w:t>
            </w:r>
            <w:r w:rsidRPr="00F353BA">
              <w:rPr>
                <w:sz w:val="26"/>
                <w:szCs w:val="26"/>
              </w:rPr>
              <w:br/>
              <w:t>- Giao hàng đến các vị trí sử dụng tại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10</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Nệm giường khám (1760 x 800 x 100)mm</w:t>
            </w:r>
          </w:p>
        </w:tc>
        <w:tc>
          <w:tcPr>
            <w:tcW w:w="3870" w:type="dxa"/>
          </w:tcPr>
          <w:p w:rsidR="00F353BA" w:rsidRPr="00F353BA" w:rsidRDefault="00F353BA" w:rsidP="00F353BA">
            <w:pPr>
              <w:rPr>
                <w:sz w:val="26"/>
                <w:szCs w:val="26"/>
              </w:rPr>
            </w:pPr>
            <w:r w:rsidRPr="00F353BA">
              <w:rPr>
                <w:sz w:val="26"/>
                <w:szCs w:val="26"/>
              </w:rPr>
              <w:t>- Kích thước: (1760 x 800 x 100)mm</w:t>
            </w:r>
            <w:r w:rsidRPr="00F353BA">
              <w:rPr>
                <w:sz w:val="26"/>
                <w:szCs w:val="26"/>
              </w:rPr>
              <w:br/>
              <w:t>- Nệm mút D40.</w:t>
            </w:r>
            <w:r w:rsidRPr="00F353BA">
              <w:rPr>
                <w:sz w:val="26"/>
                <w:szCs w:val="26"/>
              </w:rPr>
              <w:br/>
              <w:t>- Bọc simili mới loại tốt, màu sắc xám ghi.</w:t>
            </w:r>
            <w:r w:rsidRPr="00F353BA">
              <w:rPr>
                <w:sz w:val="26"/>
                <w:szCs w:val="26"/>
              </w:rPr>
              <w:br/>
              <w:t>- Giao hàng đến các vị trí sử dụng tại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2</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Nút nhựa bọc chân ghế</w:t>
            </w:r>
          </w:p>
        </w:tc>
        <w:tc>
          <w:tcPr>
            <w:tcW w:w="3870" w:type="dxa"/>
          </w:tcPr>
          <w:p w:rsidR="00F353BA" w:rsidRPr="00F353BA" w:rsidRDefault="00F353BA" w:rsidP="00F353BA">
            <w:pPr>
              <w:rPr>
                <w:sz w:val="26"/>
                <w:szCs w:val="26"/>
              </w:rPr>
            </w:pPr>
            <w:r w:rsidRPr="00F353BA">
              <w:rPr>
                <w:sz w:val="26"/>
                <w:szCs w:val="26"/>
              </w:rPr>
              <w:t>- Thay cho nút bọc chân ghế xếp, ghế inox tròn... bị hư hỏng/mất.</w:t>
            </w:r>
            <w:r w:rsidRPr="00F353BA">
              <w:rPr>
                <w:sz w:val="26"/>
                <w:szCs w:val="26"/>
              </w:rPr>
              <w:br/>
              <w:t>- Chất liệu nhựa cứng màu đen, chịu lực tốt, chịu va đập mạnh.</w:t>
            </w:r>
            <w:r w:rsidRPr="00F353BA">
              <w:rPr>
                <w:sz w:val="26"/>
                <w:szCs w:val="26"/>
              </w:rPr>
              <w:br/>
              <w:t>- Gắn cho chân ghế có đường kính ống 14mm đến 22mm. Có lỗ bắt vít.</w:t>
            </w:r>
            <w:r w:rsidRPr="00F353BA">
              <w:rPr>
                <w:sz w:val="26"/>
                <w:szCs w:val="26"/>
              </w:rPr>
              <w:br/>
              <w:t>- Kích thước nút cao 15mm - 20mm, dài 20-45mm, ngang 15-20mm.</w:t>
            </w:r>
            <w:r w:rsidRPr="00F353BA">
              <w:rPr>
                <w:sz w:val="26"/>
                <w:szCs w:val="26"/>
              </w:rPr>
              <w:br/>
              <w:t>- Bao gồm ốc, vít phù hợp để lắp đặt.</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128</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Mâm ghế loại 1</w:t>
            </w:r>
          </w:p>
        </w:tc>
        <w:tc>
          <w:tcPr>
            <w:tcW w:w="3870" w:type="dxa"/>
          </w:tcPr>
          <w:p w:rsidR="00F353BA" w:rsidRPr="00F353BA" w:rsidRDefault="00F353BA" w:rsidP="00F353BA">
            <w:pPr>
              <w:rPr>
                <w:sz w:val="26"/>
                <w:szCs w:val="26"/>
              </w:rPr>
            </w:pPr>
            <w:r w:rsidRPr="00F353BA">
              <w:rPr>
                <w:sz w:val="26"/>
                <w:szCs w:val="26"/>
              </w:rPr>
              <w:t>- Thay cho mâm ghế của ghế The One mã GL113.</w:t>
            </w:r>
            <w:r w:rsidRPr="00F353BA">
              <w:rPr>
                <w:sz w:val="26"/>
                <w:szCs w:val="26"/>
              </w:rPr>
              <w:br/>
              <w:t>- Chất liệu sắt sơn tĩnh điện màu đen.</w:t>
            </w:r>
            <w:r w:rsidRPr="00F353BA">
              <w:rPr>
                <w:sz w:val="26"/>
                <w:szCs w:val="26"/>
              </w:rPr>
              <w:br/>
            </w:r>
            <w:r w:rsidRPr="00F353BA">
              <w:rPr>
                <w:sz w:val="26"/>
                <w:szCs w:val="26"/>
              </w:rPr>
              <w:lastRenderedPageBreak/>
              <w:t>- Bao gồm mâm ghế, cần gạt, vít lắp…</w:t>
            </w:r>
            <w:r w:rsidRPr="00F353BA">
              <w:rPr>
                <w:sz w:val="26"/>
                <w:szCs w:val="26"/>
              </w:rPr>
              <w:br/>
              <w:t>- Lắp đặt tương thích/phù hợp với ghế hiện hữu.</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22</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Mâm ghế loại 2</w:t>
            </w:r>
          </w:p>
        </w:tc>
        <w:tc>
          <w:tcPr>
            <w:tcW w:w="3870" w:type="dxa"/>
          </w:tcPr>
          <w:p w:rsidR="00F353BA" w:rsidRPr="00F353BA" w:rsidRDefault="00F353BA" w:rsidP="00F353BA">
            <w:pPr>
              <w:rPr>
                <w:sz w:val="26"/>
                <w:szCs w:val="26"/>
              </w:rPr>
            </w:pPr>
            <w:r w:rsidRPr="00F353BA">
              <w:rPr>
                <w:sz w:val="26"/>
                <w:szCs w:val="26"/>
              </w:rPr>
              <w:t>- Thay cho mâm ghế của ghế The One mã SG550.</w:t>
            </w:r>
            <w:r w:rsidRPr="00F353BA">
              <w:rPr>
                <w:sz w:val="26"/>
                <w:szCs w:val="26"/>
              </w:rPr>
              <w:br/>
              <w:t>- Chất liệu sắt sơn tĩnh điện màu đen.</w:t>
            </w:r>
            <w:r w:rsidRPr="00F353BA">
              <w:rPr>
                <w:sz w:val="26"/>
                <w:szCs w:val="26"/>
              </w:rPr>
              <w:br/>
              <w:t>- Bao gồm mâm ghế, cần gạt, vít lắp…</w:t>
            </w:r>
            <w:r w:rsidRPr="00F353BA">
              <w:rPr>
                <w:sz w:val="26"/>
                <w:szCs w:val="26"/>
              </w:rPr>
              <w:br/>
              <w:t>- Lắp đặt tương thích/phù hợp với ghế hiện hữu.</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25</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Nắp luồn dây điện</w:t>
            </w:r>
          </w:p>
        </w:tc>
        <w:tc>
          <w:tcPr>
            <w:tcW w:w="3870" w:type="dxa"/>
          </w:tcPr>
          <w:p w:rsidR="00F353BA" w:rsidRPr="00F353BA" w:rsidRDefault="00F353BA" w:rsidP="00F353BA">
            <w:pPr>
              <w:rPr>
                <w:sz w:val="26"/>
                <w:szCs w:val="26"/>
              </w:rPr>
            </w:pPr>
            <w:r w:rsidRPr="00F353BA">
              <w:rPr>
                <w:sz w:val="26"/>
                <w:szCs w:val="26"/>
              </w:rPr>
              <w:t>- Chất liệu nhựa ABS chịu lực tốt, độ bền cao.</w:t>
            </w:r>
            <w:r w:rsidRPr="00F353BA">
              <w:rPr>
                <w:sz w:val="26"/>
                <w:szCs w:val="26"/>
              </w:rPr>
              <w:br/>
              <w:t>- Màu ghi sáng, màu vàng cam tùy màu sắc của bàn đang sử dụng.</w:t>
            </w:r>
            <w:r w:rsidRPr="00F353BA">
              <w:rPr>
                <w:sz w:val="26"/>
                <w:szCs w:val="26"/>
              </w:rPr>
              <w:br/>
              <w:t>- Đậy cho lỗ khoan đường kính 60mm.</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6</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 xml:space="preserve">Mũi khoét đá 60 mm </w:t>
            </w:r>
          </w:p>
        </w:tc>
        <w:tc>
          <w:tcPr>
            <w:tcW w:w="3870" w:type="dxa"/>
          </w:tcPr>
          <w:p w:rsidR="00F353BA" w:rsidRPr="00F353BA" w:rsidRDefault="00F353BA" w:rsidP="00F353BA">
            <w:pPr>
              <w:rPr>
                <w:sz w:val="26"/>
                <w:szCs w:val="26"/>
              </w:rPr>
            </w:pPr>
            <w:r w:rsidRPr="00F353BA">
              <w:rPr>
                <w:sz w:val="26"/>
                <w:szCs w:val="26"/>
              </w:rPr>
              <w:t>- Mũi khoét đá đường kính 60mm.</w:t>
            </w:r>
            <w:r w:rsidRPr="00F353BA">
              <w:rPr>
                <w:sz w:val="26"/>
                <w:szCs w:val="26"/>
              </w:rPr>
              <w:br/>
              <w:t>- Chất liệu hợp kim thép sơn mạ bạc, đầu phủ kim cương nhân tạo.</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4</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r w:rsidR="006A5027" w:rsidRPr="00F353BA" w:rsidTr="00C4013F">
        <w:tc>
          <w:tcPr>
            <w:tcW w:w="592" w:type="dxa"/>
            <w:vAlign w:val="center"/>
          </w:tcPr>
          <w:p w:rsidR="00F353BA" w:rsidRPr="00F353BA" w:rsidRDefault="00F353BA" w:rsidP="00F353BA">
            <w:pPr>
              <w:pStyle w:val="ListParagraph"/>
              <w:numPr>
                <w:ilvl w:val="0"/>
                <w:numId w:val="2"/>
              </w:numPr>
              <w:spacing w:before="120" w:after="120"/>
              <w:ind w:hanging="600"/>
              <w:jc w:val="center"/>
              <w:rPr>
                <w:bCs/>
                <w:sz w:val="26"/>
                <w:szCs w:val="26"/>
              </w:rPr>
            </w:pPr>
          </w:p>
        </w:tc>
        <w:tc>
          <w:tcPr>
            <w:tcW w:w="2070" w:type="dxa"/>
            <w:vAlign w:val="center"/>
          </w:tcPr>
          <w:p w:rsidR="00F353BA" w:rsidRPr="00F353BA" w:rsidRDefault="00F353BA" w:rsidP="00F353BA">
            <w:pPr>
              <w:rPr>
                <w:sz w:val="26"/>
                <w:szCs w:val="26"/>
              </w:rPr>
            </w:pPr>
            <w:r w:rsidRPr="00F353BA">
              <w:rPr>
                <w:sz w:val="26"/>
                <w:szCs w:val="26"/>
              </w:rPr>
              <w:t xml:space="preserve">Mũi khoét gỗ 60 mm </w:t>
            </w:r>
          </w:p>
        </w:tc>
        <w:tc>
          <w:tcPr>
            <w:tcW w:w="3870" w:type="dxa"/>
          </w:tcPr>
          <w:p w:rsidR="00F353BA" w:rsidRPr="00F353BA" w:rsidRDefault="00F353BA" w:rsidP="00F353BA">
            <w:pPr>
              <w:rPr>
                <w:sz w:val="26"/>
                <w:szCs w:val="26"/>
              </w:rPr>
            </w:pPr>
            <w:r w:rsidRPr="00F353BA">
              <w:rPr>
                <w:sz w:val="26"/>
                <w:szCs w:val="26"/>
              </w:rPr>
              <w:t>- Mũi khoét gỗ đường kính 60mm.</w:t>
            </w:r>
            <w:r w:rsidRPr="00F353BA">
              <w:rPr>
                <w:sz w:val="26"/>
                <w:szCs w:val="26"/>
              </w:rPr>
              <w:br/>
              <w:t>- Chất liệu thép.</w:t>
            </w:r>
            <w:r w:rsidRPr="00F353BA">
              <w:rPr>
                <w:sz w:val="26"/>
                <w:szCs w:val="26"/>
              </w:rPr>
              <w:br/>
              <w:t>- Giao hàng từng đợt theo yêu cầu của bệnh viện.</w:t>
            </w:r>
          </w:p>
        </w:tc>
        <w:tc>
          <w:tcPr>
            <w:tcW w:w="990" w:type="dxa"/>
          </w:tcPr>
          <w:p w:rsidR="00F353BA" w:rsidRPr="00F353BA" w:rsidRDefault="00F353BA" w:rsidP="00F353BA">
            <w:pPr>
              <w:spacing w:before="120" w:after="120"/>
              <w:rPr>
                <w:b/>
                <w:bCs/>
                <w:sz w:val="26"/>
                <w:szCs w:val="26"/>
              </w:rPr>
            </w:pPr>
          </w:p>
        </w:tc>
        <w:tc>
          <w:tcPr>
            <w:tcW w:w="1080" w:type="dxa"/>
          </w:tcPr>
          <w:p w:rsidR="00F353BA" w:rsidRPr="00F353BA" w:rsidRDefault="00F353BA" w:rsidP="00F353BA">
            <w:pPr>
              <w:spacing w:before="120" w:after="120"/>
              <w:rPr>
                <w:b/>
                <w:bCs/>
                <w:sz w:val="26"/>
                <w:szCs w:val="26"/>
              </w:rPr>
            </w:pPr>
          </w:p>
        </w:tc>
        <w:tc>
          <w:tcPr>
            <w:tcW w:w="720" w:type="dxa"/>
            <w:vAlign w:val="center"/>
          </w:tcPr>
          <w:p w:rsidR="00F353BA" w:rsidRPr="00F353BA" w:rsidRDefault="00F353BA" w:rsidP="00F353BA">
            <w:pPr>
              <w:jc w:val="center"/>
              <w:rPr>
                <w:sz w:val="26"/>
                <w:szCs w:val="26"/>
              </w:rPr>
            </w:pPr>
            <w:r w:rsidRPr="00F353BA">
              <w:rPr>
                <w:sz w:val="26"/>
                <w:szCs w:val="26"/>
              </w:rPr>
              <w:t>cái</w:t>
            </w:r>
          </w:p>
        </w:tc>
        <w:tc>
          <w:tcPr>
            <w:tcW w:w="810" w:type="dxa"/>
            <w:vAlign w:val="center"/>
          </w:tcPr>
          <w:p w:rsidR="00F353BA" w:rsidRPr="00F353BA" w:rsidRDefault="00F353BA" w:rsidP="00F353BA">
            <w:pPr>
              <w:jc w:val="center"/>
              <w:rPr>
                <w:sz w:val="26"/>
                <w:szCs w:val="26"/>
              </w:rPr>
            </w:pPr>
            <w:r w:rsidRPr="00F353BA">
              <w:rPr>
                <w:sz w:val="26"/>
                <w:szCs w:val="26"/>
              </w:rPr>
              <w:t>4</w:t>
            </w:r>
          </w:p>
        </w:tc>
        <w:tc>
          <w:tcPr>
            <w:tcW w:w="1350" w:type="dxa"/>
            <w:vAlign w:val="center"/>
          </w:tcPr>
          <w:p w:rsidR="00F353BA" w:rsidRPr="00F353BA" w:rsidRDefault="00F353BA" w:rsidP="00F353BA">
            <w:pPr>
              <w:jc w:val="center"/>
              <w:rPr>
                <w:sz w:val="26"/>
                <w:szCs w:val="26"/>
              </w:rPr>
            </w:pP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bookmarkEnd w:id="0"/>
      <w:tr w:rsidR="00F353BA" w:rsidRPr="00F353BA" w:rsidTr="00C4013F">
        <w:tc>
          <w:tcPr>
            <w:tcW w:w="11482" w:type="dxa"/>
            <w:gridSpan w:val="8"/>
            <w:vAlign w:val="center"/>
          </w:tcPr>
          <w:p w:rsidR="00F353BA" w:rsidRPr="00F353BA" w:rsidRDefault="00F353BA" w:rsidP="00F353BA">
            <w:pPr>
              <w:spacing w:before="120" w:after="120"/>
              <w:jc w:val="center"/>
              <w:rPr>
                <w:b/>
                <w:bCs/>
                <w:sz w:val="26"/>
                <w:szCs w:val="26"/>
              </w:rPr>
            </w:pPr>
            <w:r w:rsidRPr="00F353BA">
              <w:rPr>
                <w:b/>
                <w:bCs/>
                <w:sz w:val="26"/>
                <w:szCs w:val="26"/>
              </w:rPr>
              <w:t>Tổng cộng:</w:t>
            </w:r>
          </w:p>
        </w:tc>
        <w:tc>
          <w:tcPr>
            <w:tcW w:w="1620" w:type="dxa"/>
          </w:tcPr>
          <w:p w:rsidR="00F353BA" w:rsidRPr="00F353BA" w:rsidRDefault="00F353BA" w:rsidP="00F353BA">
            <w:pPr>
              <w:spacing w:before="120" w:after="120"/>
              <w:rPr>
                <w:b/>
                <w:bCs/>
                <w:sz w:val="26"/>
                <w:szCs w:val="26"/>
              </w:rPr>
            </w:pPr>
          </w:p>
        </w:tc>
        <w:tc>
          <w:tcPr>
            <w:tcW w:w="1350" w:type="dxa"/>
          </w:tcPr>
          <w:p w:rsidR="00F353BA" w:rsidRPr="00F353BA" w:rsidRDefault="00F353BA" w:rsidP="00F353BA">
            <w:pPr>
              <w:spacing w:before="120" w:after="120"/>
              <w:rPr>
                <w:b/>
                <w:bCs/>
                <w:sz w:val="26"/>
                <w:szCs w:val="26"/>
              </w:rPr>
            </w:pPr>
          </w:p>
        </w:tc>
      </w:tr>
    </w:tbl>
    <w:p w:rsidR="002F04DE" w:rsidRDefault="00B2337A">
      <w:pPr>
        <w:pStyle w:val="ListParagraph"/>
        <w:numPr>
          <w:ilvl w:val="0"/>
          <w:numId w:val="1"/>
        </w:numPr>
        <w:spacing w:before="120" w:after="120"/>
        <w:rPr>
          <w:sz w:val="26"/>
          <w:szCs w:val="26"/>
        </w:rPr>
      </w:pPr>
      <w:r>
        <w:rPr>
          <w:sz w:val="26"/>
          <w:szCs w:val="26"/>
        </w:rPr>
        <w:t>Yêu cầu báo giá:</w:t>
      </w:r>
    </w:p>
    <w:p w:rsidR="002F04DE" w:rsidRDefault="00B2337A">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1"/>
      </w:r>
      <w:r>
        <w:rPr>
          <w:sz w:val="26"/>
          <w:szCs w:val="26"/>
          <w:vertAlign w:val="superscript"/>
        </w:rPr>
        <w:t>)</w:t>
      </w:r>
      <w:r>
        <w:rPr>
          <w:sz w:val="26"/>
          <w:szCs w:val="26"/>
        </w:rPr>
        <w:t xml:space="preserve"> ngày kể từ ngày báo giá.</w:t>
      </w:r>
    </w:p>
    <w:p w:rsidR="00F353BA" w:rsidRDefault="00F353BA">
      <w:pPr>
        <w:spacing w:before="120" w:after="120"/>
        <w:ind w:firstLine="567"/>
        <w:rPr>
          <w:sz w:val="26"/>
          <w:szCs w:val="26"/>
        </w:rPr>
      </w:pPr>
      <w:r>
        <w:rPr>
          <w:sz w:val="26"/>
          <w:szCs w:val="26"/>
        </w:rPr>
        <w:t xml:space="preserve">- Báo giá đã bao gồm </w:t>
      </w:r>
      <w:r w:rsidR="006A5027" w:rsidRPr="006A5027">
        <w:rPr>
          <w:sz w:val="26"/>
          <w:szCs w:val="26"/>
        </w:rPr>
        <w:t>thuế giá trị gia tăng, lắp đặt, vận chuyển và các chi phí liên quan khác</w:t>
      </w:r>
      <w:r>
        <w:rPr>
          <w:sz w:val="26"/>
          <w:szCs w:val="26"/>
        </w:rPr>
        <w:t>.</w:t>
      </w:r>
    </w:p>
    <w:p w:rsidR="002F04DE" w:rsidRDefault="00B2337A">
      <w:pPr>
        <w:spacing w:before="120" w:after="120"/>
        <w:ind w:firstLine="567"/>
        <w:rPr>
          <w:sz w:val="26"/>
          <w:szCs w:val="26"/>
          <w:shd w:val="clear" w:color="auto" w:fill="FFFFFF"/>
        </w:rPr>
      </w:pPr>
      <w:r>
        <w:rPr>
          <w:sz w:val="26"/>
          <w:szCs w:val="26"/>
          <w:shd w:val="clear" w:color="auto" w:fill="FFFFFF"/>
        </w:rPr>
        <w:t xml:space="preserve">- </w:t>
      </w:r>
      <w:r w:rsidRPr="006A5027">
        <w:rPr>
          <w:sz w:val="26"/>
          <w:szCs w:val="26"/>
          <w:shd w:val="clear" w:color="auto" w:fill="FFFFFF"/>
        </w:rPr>
        <w:t>Chúng tôi cam kết về đơn giá chào hàng bằng hoặc thấp hơn giá trên thị trường của cùng nhà cung ứng hoặc cùng chủng loại.</w:t>
      </w:r>
    </w:p>
    <w:p w:rsidR="002F04DE" w:rsidRDefault="002F04DE">
      <w:pPr>
        <w:spacing w:before="120" w:after="120"/>
        <w:ind w:firstLine="567"/>
        <w:rPr>
          <w:sz w:val="26"/>
          <w:szCs w:val="26"/>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2F04DE">
        <w:tc>
          <w:tcPr>
            <w:tcW w:w="4740" w:type="dxa"/>
          </w:tcPr>
          <w:p w:rsidR="002F04DE" w:rsidRDefault="002F04DE">
            <w:pPr>
              <w:spacing w:before="120" w:after="120"/>
              <w:rPr>
                <w:sz w:val="26"/>
                <w:szCs w:val="26"/>
              </w:rPr>
            </w:pPr>
          </w:p>
        </w:tc>
        <w:tc>
          <w:tcPr>
            <w:tcW w:w="4740" w:type="dxa"/>
          </w:tcPr>
          <w:p w:rsidR="002F04DE" w:rsidRDefault="002F04DE">
            <w:pPr>
              <w:spacing w:before="120" w:after="120"/>
              <w:rPr>
                <w:sz w:val="26"/>
                <w:szCs w:val="26"/>
              </w:rPr>
            </w:pPr>
          </w:p>
        </w:tc>
        <w:tc>
          <w:tcPr>
            <w:tcW w:w="4740" w:type="dxa"/>
          </w:tcPr>
          <w:p w:rsidR="002F04DE" w:rsidRDefault="006A5027">
            <w:pPr>
              <w:spacing w:before="120" w:after="120"/>
              <w:jc w:val="center"/>
              <w:rPr>
                <w:sz w:val="26"/>
                <w:szCs w:val="26"/>
              </w:rPr>
            </w:pPr>
            <w:r>
              <w:rPr>
                <w:sz w:val="26"/>
                <w:szCs w:val="26"/>
              </w:rPr>
              <w:t>Ngày … tháng … năm ……</w:t>
            </w:r>
          </w:p>
          <w:p w:rsidR="002F04DE" w:rsidRDefault="00B2337A">
            <w:pPr>
              <w:spacing w:before="120" w:after="120"/>
              <w:jc w:val="center"/>
              <w:rPr>
                <w:b/>
                <w:bCs/>
                <w:sz w:val="26"/>
                <w:szCs w:val="26"/>
              </w:rPr>
            </w:pPr>
            <w:r>
              <w:rPr>
                <w:b/>
                <w:bCs/>
                <w:sz w:val="26"/>
                <w:szCs w:val="26"/>
              </w:rPr>
              <w:t>ĐẠI DIỆN THEO PHÁP LUẬT</w:t>
            </w:r>
          </w:p>
          <w:p w:rsidR="002F04DE" w:rsidRDefault="00B2337A">
            <w:pPr>
              <w:spacing w:before="120" w:after="120"/>
              <w:jc w:val="center"/>
              <w:rPr>
                <w:sz w:val="26"/>
                <w:szCs w:val="26"/>
              </w:rPr>
            </w:pPr>
            <w:r>
              <w:rPr>
                <w:sz w:val="26"/>
                <w:szCs w:val="26"/>
              </w:rPr>
              <w:t>(Ký tên và đóng dấu)</w:t>
            </w:r>
          </w:p>
        </w:tc>
      </w:tr>
    </w:tbl>
    <w:p w:rsidR="002F04DE" w:rsidRDefault="00B2337A">
      <w:pPr>
        <w:tabs>
          <w:tab w:val="left" w:pos="3216"/>
        </w:tabs>
        <w:rPr>
          <w:sz w:val="26"/>
          <w:szCs w:val="26"/>
        </w:rPr>
      </w:pPr>
      <w:r>
        <w:rPr>
          <w:sz w:val="26"/>
          <w:szCs w:val="26"/>
        </w:rPr>
        <w:tab/>
      </w:r>
    </w:p>
    <w:sectPr w:rsidR="002F04DE" w:rsidSect="00B2337A">
      <w:headerReference w:type="default" r:id="rId14"/>
      <w:footerReference w:type="default" r:id="rId15"/>
      <w:headerReference w:type="first" r:id="rId16"/>
      <w:footerReference w:type="first" r:id="rId17"/>
      <w:pgSz w:w="16839" w:h="11907" w:orient="landscape" w:code="9"/>
      <w:pgMar w:top="1134" w:right="1134" w:bottom="1134" w:left="1701" w:header="510" w:footer="28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80" w:rsidRDefault="00B2337A">
      <w:r>
        <w:separator/>
      </w:r>
    </w:p>
  </w:endnote>
  <w:endnote w:type="continuationSeparator" w:id="0">
    <w:p w:rsidR="00111D80" w:rsidRDefault="00B2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DE" w:rsidRDefault="002F04DE">
    <w:pPr>
      <w:pStyle w:val="Footer"/>
    </w:pPr>
  </w:p>
  <w:p w:rsidR="002F04DE" w:rsidRDefault="002F04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2F04DE">
      <w:tc>
        <w:tcPr>
          <w:tcW w:w="2801" w:type="dxa"/>
        </w:tcPr>
        <w:p w:rsidR="002F04DE" w:rsidRDefault="000E1CA7">
          <w:pPr>
            <w:jc w:val="center"/>
          </w:pPr>
          <w:sdt>
            <w:sdtPr>
              <w:id w:val="588966995"/>
              <w:lock w:val="sdtContentLocked"/>
              <w:picture/>
            </w:sdtPr>
            <w:sdtEndPr/>
            <w:sdtContent>
              <w:r w:rsidR="00B2337A">
                <w:rPr>
                  <w:noProof/>
                </w:rPr>
                <w:drawing>
                  <wp:inline distT="0" distB="0" distL="0" distR="0">
                    <wp:extent cx="466790" cy="46679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2F04DE" w:rsidRDefault="00B2337A">
          <w:pPr>
            <w:jc w:val="center"/>
          </w:pPr>
          <w:r>
            <w:rPr>
              <w:sz w:val="16"/>
              <w:szCs w:val="16"/>
            </w:rPr>
            <w:t>BM: CVĐT.03(1)</w:t>
          </w:r>
        </w:p>
      </w:tc>
      <w:tc>
        <w:tcPr>
          <w:tcW w:w="2801" w:type="dxa"/>
        </w:tcPr>
        <w:p w:rsidR="002F04DE" w:rsidRDefault="002F04DE"/>
      </w:tc>
      <w:tc>
        <w:tcPr>
          <w:tcW w:w="2801" w:type="dxa"/>
        </w:tcPr>
        <w:p w:rsidR="002F04DE" w:rsidRDefault="002F04DE"/>
      </w:tc>
      <w:tc>
        <w:tcPr>
          <w:tcW w:w="2801" w:type="dxa"/>
        </w:tcPr>
        <w:p w:rsidR="002F04DE" w:rsidRDefault="002F04DE"/>
      </w:tc>
      <w:tc>
        <w:tcPr>
          <w:tcW w:w="2801" w:type="dxa"/>
        </w:tcPr>
        <w:p w:rsidR="002F04DE" w:rsidRDefault="002F04DE"/>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DE" w:rsidRDefault="00B2337A">
      <w:r>
        <w:separator/>
      </w:r>
    </w:p>
  </w:footnote>
  <w:footnote w:type="continuationSeparator" w:id="0">
    <w:p w:rsidR="002F04DE" w:rsidRDefault="00B2337A">
      <w:r>
        <w:continuationSeparator/>
      </w:r>
    </w:p>
  </w:footnote>
  <w:footnote w:id="1">
    <w:p w:rsidR="002F04DE" w:rsidRDefault="00B2337A">
      <w:pPr>
        <w:pStyle w:val="FootnoteText"/>
        <w:spacing w:before="0" w:beforeAutospacing="0" w:after="0" w:afterAutospacing="0"/>
        <w:contextualSpacing/>
      </w:pPr>
      <w:r>
        <w:rPr>
          <w:rStyle w:val="FootnoteReference"/>
          <w:sz w:val="22"/>
          <w:szCs w:val="22"/>
          <w:vertAlign w:val="superscript"/>
        </w:rPr>
        <w:footnoteRef/>
      </w:r>
      <w:r>
        <w:rPr>
          <w:sz w:val="22"/>
          <w:szCs w:val="22"/>
        </w:rPr>
        <w:t>: tối thiểu 06 tháng kể từ ngày chào giá.</w:t>
      </w:r>
    </w:p>
    <w:p w:rsidR="002F04DE" w:rsidRDefault="002F04DE">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201298"/>
      <w:docPartObj>
        <w:docPartGallery w:val="Page Numbers (Top of Page)"/>
        <w:docPartUnique/>
      </w:docPartObj>
    </w:sdtPr>
    <w:sdtEndPr>
      <w:rPr>
        <w:noProof/>
      </w:rPr>
    </w:sdtEndPr>
    <w:sdtContent>
      <w:p w:rsidR="00364F87" w:rsidRDefault="00364F87">
        <w:pPr>
          <w:pStyle w:val="Header"/>
          <w:jc w:val="center"/>
        </w:pPr>
        <w:r>
          <w:fldChar w:fldCharType="begin"/>
        </w:r>
        <w:r>
          <w:instrText xml:space="preserve"> PAGE   \* MERGEFORMAT </w:instrText>
        </w:r>
        <w:r>
          <w:fldChar w:fldCharType="separate"/>
        </w:r>
        <w:r w:rsidR="000E1CA7">
          <w:rPr>
            <w:noProof/>
          </w:rPr>
          <w:t>2</w:t>
        </w:r>
        <w:r>
          <w:rPr>
            <w:noProof/>
          </w:rPr>
          <w:fldChar w:fldCharType="end"/>
        </w:r>
      </w:p>
    </w:sdtContent>
  </w:sdt>
  <w:p w:rsidR="002F04DE" w:rsidRDefault="002F04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87" w:rsidRDefault="00364F87">
    <w:pPr>
      <w:pStyle w:val="Header"/>
      <w:jc w:val="center"/>
    </w:pPr>
  </w:p>
  <w:p w:rsidR="00364F87" w:rsidRDefault="00364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B7ABA"/>
    <w:multiLevelType w:val="hybridMultilevel"/>
    <w:tmpl w:val="0F08E6E4"/>
    <w:lvl w:ilvl="0" w:tplc="78026510">
      <w:start w:val="1"/>
      <w:numFmt w:val="bullet"/>
      <w:lvlText w:val=""/>
      <w:lvlJc w:val="left"/>
      <w:pPr>
        <w:ind w:left="360" w:hanging="360"/>
      </w:pPr>
      <w:rPr>
        <w:rFonts w:ascii="Wingdings" w:hAnsi="Wingdings" w:hint="default"/>
      </w:rPr>
    </w:lvl>
    <w:lvl w:ilvl="1" w:tplc="99F00CE8">
      <w:start w:val="1"/>
      <w:numFmt w:val="bullet"/>
      <w:lvlText w:val="o"/>
      <w:lvlJc w:val="left"/>
      <w:pPr>
        <w:ind w:left="1080" w:hanging="360"/>
      </w:pPr>
      <w:rPr>
        <w:rFonts w:ascii="Courier New" w:hAnsi="Courier New" w:cs="Courier New" w:hint="default"/>
      </w:rPr>
    </w:lvl>
    <w:lvl w:ilvl="2" w:tplc="7A8CD4E4">
      <w:start w:val="1"/>
      <w:numFmt w:val="bullet"/>
      <w:lvlText w:val=""/>
      <w:lvlJc w:val="left"/>
      <w:pPr>
        <w:ind w:left="1800" w:hanging="360"/>
      </w:pPr>
      <w:rPr>
        <w:rFonts w:ascii="Wingdings" w:hAnsi="Wingdings" w:hint="default"/>
      </w:rPr>
    </w:lvl>
    <w:lvl w:ilvl="3" w:tplc="B2980F1A">
      <w:start w:val="1"/>
      <w:numFmt w:val="bullet"/>
      <w:lvlText w:val=""/>
      <w:lvlJc w:val="left"/>
      <w:pPr>
        <w:ind w:left="2520" w:hanging="360"/>
      </w:pPr>
      <w:rPr>
        <w:rFonts w:ascii="Symbol" w:hAnsi="Symbol" w:hint="default"/>
      </w:rPr>
    </w:lvl>
    <w:lvl w:ilvl="4" w:tplc="CAACA2BE">
      <w:start w:val="1"/>
      <w:numFmt w:val="bullet"/>
      <w:lvlText w:val="o"/>
      <w:lvlJc w:val="left"/>
      <w:pPr>
        <w:ind w:left="3240" w:hanging="360"/>
      </w:pPr>
      <w:rPr>
        <w:rFonts w:ascii="Courier New" w:hAnsi="Courier New" w:cs="Courier New" w:hint="default"/>
      </w:rPr>
    </w:lvl>
    <w:lvl w:ilvl="5" w:tplc="E4C4D9EE">
      <w:start w:val="1"/>
      <w:numFmt w:val="bullet"/>
      <w:lvlText w:val=""/>
      <w:lvlJc w:val="left"/>
      <w:pPr>
        <w:ind w:left="3960" w:hanging="360"/>
      </w:pPr>
      <w:rPr>
        <w:rFonts w:ascii="Wingdings" w:hAnsi="Wingdings" w:hint="default"/>
      </w:rPr>
    </w:lvl>
    <w:lvl w:ilvl="6" w:tplc="17B27402">
      <w:start w:val="1"/>
      <w:numFmt w:val="bullet"/>
      <w:lvlText w:val=""/>
      <w:lvlJc w:val="left"/>
      <w:pPr>
        <w:ind w:left="4680" w:hanging="360"/>
      </w:pPr>
      <w:rPr>
        <w:rFonts w:ascii="Symbol" w:hAnsi="Symbol" w:hint="default"/>
      </w:rPr>
    </w:lvl>
    <w:lvl w:ilvl="7" w:tplc="ED1283D6">
      <w:start w:val="1"/>
      <w:numFmt w:val="bullet"/>
      <w:lvlText w:val="o"/>
      <w:lvlJc w:val="left"/>
      <w:pPr>
        <w:ind w:left="5400" w:hanging="360"/>
      </w:pPr>
      <w:rPr>
        <w:rFonts w:ascii="Courier New" w:hAnsi="Courier New" w:cs="Courier New" w:hint="default"/>
      </w:rPr>
    </w:lvl>
    <w:lvl w:ilvl="8" w:tplc="35EC1D20">
      <w:start w:val="1"/>
      <w:numFmt w:val="bullet"/>
      <w:lvlText w:val=""/>
      <w:lvlJc w:val="left"/>
      <w:pPr>
        <w:ind w:left="6120" w:hanging="360"/>
      </w:pPr>
      <w:rPr>
        <w:rFonts w:ascii="Wingdings" w:hAnsi="Wingdings" w:hint="default"/>
      </w:rPr>
    </w:lvl>
  </w:abstractNum>
  <w:abstractNum w:abstractNumId="1" w15:restartNumberingAfterBreak="0">
    <w:nsid w:val="6A1F052F"/>
    <w:multiLevelType w:val="hybridMultilevel"/>
    <w:tmpl w:val="13D8BB1C"/>
    <w:lvl w:ilvl="0" w:tplc="8FFAE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DE"/>
    <w:rsid w:val="000E1CA7"/>
    <w:rsid w:val="00111D80"/>
    <w:rsid w:val="002F04DE"/>
    <w:rsid w:val="00364F87"/>
    <w:rsid w:val="006A5027"/>
    <w:rsid w:val="00B2337A"/>
    <w:rsid w:val="00C4013F"/>
    <w:rsid w:val="00C7106E"/>
    <w:rsid w:val="00F353B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2EE73A-1928-4CA1-A874-A569DD1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338078318">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BD7268B-94EE-4D92-AF9E-8C5CBBC7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Phuong Quynh</cp:lastModifiedBy>
  <cp:revision>28</cp:revision>
  <cp:lastPrinted>2024-09-05T02:17:00Z</cp:lastPrinted>
  <dcterms:created xsi:type="dcterms:W3CDTF">2022-10-08T04:38:00Z</dcterms:created>
  <dcterms:modified xsi:type="dcterms:W3CDTF">2024-09-05T03:58:00Z</dcterms:modified>
</cp:coreProperties>
</file>