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FDC4F" w14:textId="77777777" w:rsidR="008E3C67" w:rsidRPr="00D05DC5" w:rsidRDefault="00CF2BF2">
      <w:pPr>
        <w:tabs>
          <w:tab w:val="left" w:pos="3945"/>
        </w:tabs>
        <w:rPr>
          <w:b/>
          <w:bCs/>
          <w:sz w:val="26"/>
          <w:szCs w:val="26"/>
        </w:rPr>
      </w:pPr>
      <w:r w:rsidRPr="00D05DC5">
        <w:rPr>
          <w:b/>
          <w:bCs/>
          <w:sz w:val="26"/>
          <w:szCs w:val="26"/>
        </w:rPr>
        <w:t>CÔNG TY: ……………………………………………</w:t>
      </w:r>
    </w:p>
    <w:p w14:paraId="77F39C9C" w14:textId="77777777" w:rsidR="008E3C67" w:rsidRPr="00D05DC5" w:rsidRDefault="00CF2BF2">
      <w:pPr>
        <w:spacing w:before="120" w:after="120"/>
        <w:rPr>
          <w:b/>
          <w:bCs/>
          <w:sz w:val="26"/>
          <w:szCs w:val="26"/>
        </w:rPr>
      </w:pPr>
      <w:r w:rsidRPr="00D05DC5">
        <w:rPr>
          <w:b/>
          <w:bCs/>
          <w:sz w:val="26"/>
          <w:szCs w:val="26"/>
        </w:rPr>
        <w:t>ĐỊA CHỈ: …………………………………………</w:t>
      </w:r>
      <w:proofErr w:type="gramStart"/>
      <w:r w:rsidRPr="00D05DC5">
        <w:rPr>
          <w:b/>
          <w:bCs/>
          <w:sz w:val="26"/>
          <w:szCs w:val="26"/>
        </w:rPr>
        <w:t>…..</w:t>
      </w:r>
      <w:proofErr w:type="gramEnd"/>
    </w:p>
    <w:p w14:paraId="57CC0BAD" w14:textId="77777777" w:rsidR="008E3C67" w:rsidRPr="00D05DC5" w:rsidRDefault="00CF2BF2">
      <w:pPr>
        <w:spacing w:before="120" w:after="120"/>
        <w:rPr>
          <w:b/>
          <w:bCs/>
          <w:sz w:val="26"/>
          <w:szCs w:val="26"/>
        </w:rPr>
      </w:pPr>
      <w:r w:rsidRPr="00D05DC5">
        <w:rPr>
          <w:b/>
          <w:bCs/>
          <w:sz w:val="26"/>
          <w:szCs w:val="26"/>
        </w:rPr>
        <w:t>SỐ ĐIỆN THOẠI: …………………………………...</w:t>
      </w:r>
    </w:p>
    <w:p w14:paraId="49E8C131" w14:textId="77777777" w:rsidR="008E3C67" w:rsidRPr="00D05DC5" w:rsidRDefault="00CF2BF2">
      <w:pPr>
        <w:spacing w:before="120" w:after="120"/>
        <w:jc w:val="center"/>
        <w:rPr>
          <w:b/>
          <w:bCs/>
          <w:sz w:val="32"/>
          <w:szCs w:val="32"/>
        </w:rPr>
      </w:pPr>
      <w:r w:rsidRPr="00D05DC5">
        <w:rPr>
          <w:b/>
          <w:bCs/>
          <w:sz w:val="32"/>
          <w:szCs w:val="32"/>
        </w:rPr>
        <w:t>BẢNG BÁO GIÁ</w:t>
      </w:r>
    </w:p>
    <w:p w14:paraId="01484A5F" w14:textId="32DC9755" w:rsidR="008E3C67" w:rsidRPr="00D05DC5" w:rsidRDefault="00CF2BF2" w:rsidP="00D6284D">
      <w:pPr>
        <w:spacing w:before="60" w:after="60"/>
        <w:ind w:left="720"/>
        <w:jc w:val="both"/>
        <w:rPr>
          <w:sz w:val="26"/>
          <w:szCs w:val="26"/>
        </w:rPr>
      </w:pPr>
      <w:r w:rsidRPr="00D05DC5">
        <w:rPr>
          <w:sz w:val="26"/>
          <w:szCs w:val="26"/>
        </w:rPr>
        <w:t xml:space="preserve">Kính gửi: Bệnh viện Đại học Y Dược </w:t>
      </w:r>
      <w:r w:rsidR="00D6284D" w:rsidRPr="000A7132">
        <w:rPr>
          <w:sz w:val="26"/>
          <w:szCs w:val="26"/>
        </w:rPr>
        <w:t>Thành phố Hồ Chí Minh</w:t>
      </w:r>
    </w:p>
    <w:p w14:paraId="4D59E29F" w14:textId="3459C686" w:rsidR="008E3C67" w:rsidRPr="00D05DC5" w:rsidRDefault="00CF2BF2" w:rsidP="00D6284D">
      <w:pPr>
        <w:spacing w:before="60" w:after="60"/>
        <w:ind w:left="720"/>
        <w:jc w:val="both"/>
        <w:rPr>
          <w:sz w:val="26"/>
          <w:szCs w:val="26"/>
        </w:rPr>
      </w:pPr>
      <w:r w:rsidRPr="00D05DC5">
        <w:rPr>
          <w:sz w:val="26"/>
          <w:szCs w:val="26"/>
        </w:rPr>
        <w:t xml:space="preserve">Địa chỉ: 215 Hồng Bàng, Phường 11, Quận 5, </w:t>
      </w:r>
      <w:r w:rsidR="00D6284D" w:rsidRPr="000A7132">
        <w:rPr>
          <w:sz w:val="26"/>
          <w:szCs w:val="26"/>
        </w:rPr>
        <w:t>Thành phố Hồ Chí Minh</w:t>
      </w:r>
    </w:p>
    <w:p w14:paraId="0C57CBE0" w14:textId="77777777" w:rsidR="008E3C67" w:rsidRPr="00D05DC5" w:rsidRDefault="00CF2BF2" w:rsidP="00D6284D">
      <w:pPr>
        <w:spacing w:before="60" w:after="60"/>
        <w:ind w:left="720"/>
        <w:jc w:val="both"/>
        <w:rPr>
          <w:sz w:val="26"/>
          <w:szCs w:val="26"/>
        </w:rPr>
      </w:pPr>
      <w:bookmarkStart w:id="0" w:name="_GoBack"/>
      <w:bookmarkEnd w:id="0"/>
      <w:r w:rsidRPr="00D05DC5">
        <w:rPr>
          <w:sz w:val="26"/>
          <w:szCs w:val="26"/>
        </w:rPr>
        <w:t>Theo công văn mời chào giá số …</w:t>
      </w:r>
      <w:proofErr w:type="gramStart"/>
      <w:r w:rsidRPr="00D05DC5">
        <w:rPr>
          <w:sz w:val="26"/>
          <w:szCs w:val="26"/>
        </w:rPr>
        <w:t>…..</w:t>
      </w:r>
      <w:proofErr w:type="gramEnd"/>
      <w:r w:rsidRPr="00D05DC5">
        <w:rPr>
          <w:sz w:val="26"/>
          <w:szCs w:val="26"/>
        </w:rPr>
        <w:t>/BVĐHYD-</w:t>
      </w:r>
      <w:r w:rsidR="003A2FED" w:rsidRPr="00D05DC5">
        <w:rPr>
          <w:sz w:val="26"/>
          <w:szCs w:val="26"/>
        </w:rPr>
        <w:t>QTTN</w:t>
      </w:r>
      <w:r w:rsidRPr="00D05DC5">
        <w:rPr>
          <w:sz w:val="26"/>
          <w:szCs w:val="26"/>
        </w:rPr>
        <w:t xml:space="preserve"> của Bệnh viện, Công ty chúng tôi báo giá như sau:</w:t>
      </w:r>
    </w:p>
    <w:tbl>
      <w:tblPr>
        <w:tblStyle w:val="TableGrid"/>
        <w:tblW w:w="5000" w:type="pct"/>
        <w:tblCellMar>
          <w:left w:w="28" w:type="dxa"/>
          <w:right w:w="28" w:type="dxa"/>
        </w:tblCellMar>
        <w:tblLook w:val="04A0" w:firstRow="1" w:lastRow="0" w:firstColumn="1" w:lastColumn="0" w:noHBand="0" w:noVBand="1"/>
      </w:tblPr>
      <w:tblGrid>
        <w:gridCol w:w="564"/>
        <w:gridCol w:w="1485"/>
        <w:gridCol w:w="6909"/>
        <w:gridCol w:w="571"/>
        <w:gridCol w:w="633"/>
        <w:gridCol w:w="661"/>
        <w:gridCol w:w="605"/>
        <w:gridCol w:w="703"/>
        <w:gridCol w:w="962"/>
        <w:gridCol w:w="967"/>
      </w:tblGrid>
      <w:tr w:rsidR="00D05DC5" w:rsidRPr="00D05DC5" w14:paraId="5609B250" w14:textId="77777777" w:rsidTr="00423602">
        <w:trPr>
          <w:tblHeader/>
        </w:trPr>
        <w:tc>
          <w:tcPr>
            <w:tcW w:w="201" w:type="pct"/>
            <w:vAlign w:val="center"/>
          </w:tcPr>
          <w:p w14:paraId="1F3514B6" w14:textId="77777777" w:rsidR="00A90B45" w:rsidRPr="00D05DC5" w:rsidRDefault="00A90B45" w:rsidP="00CF5688">
            <w:pPr>
              <w:jc w:val="center"/>
              <w:rPr>
                <w:b/>
                <w:sz w:val="26"/>
                <w:szCs w:val="26"/>
              </w:rPr>
            </w:pPr>
            <w:r w:rsidRPr="00D05DC5">
              <w:rPr>
                <w:b/>
                <w:sz w:val="26"/>
                <w:szCs w:val="26"/>
              </w:rPr>
              <w:t>TT</w:t>
            </w:r>
          </w:p>
        </w:tc>
        <w:tc>
          <w:tcPr>
            <w:tcW w:w="528" w:type="pct"/>
            <w:vAlign w:val="center"/>
          </w:tcPr>
          <w:p w14:paraId="526856C5" w14:textId="77777777" w:rsidR="00A90B45" w:rsidRPr="00D05DC5" w:rsidRDefault="00A90B45" w:rsidP="00CF5688">
            <w:pPr>
              <w:jc w:val="center"/>
              <w:rPr>
                <w:b/>
                <w:sz w:val="26"/>
                <w:szCs w:val="26"/>
              </w:rPr>
            </w:pPr>
            <w:r w:rsidRPr="00D05DC5">
              <w:rPr>
                <w:b/>
                <w:sz w:val="26"/>
                <w:szCs w:val="26"/>
              </w:rPr>
              <w:t>Tên hàng hóa</w:t>
            </w:r>
          </w:p>
        </w:tc>
        <w:tc>
          <w:tcPr>
            <w:tcW w:w="2457" w:type="pct"/>
            <w:vAlign w:val="center"/>
          </w:tcPr>
          <w:p w14:paraId="07D59671" w14:textId="77777777" w:rsidR="00A90B45" w:rsidRPr="00D05DC5" w:rsidRDefault="00A90B45" w:rsidP="00EF415E">
            <w:pPr>
              <w:jc w:val="center"/>
              <w:rPr>
                <w:b/>
                <w:sz w:val="26"/>
                <w:szCs w:val="26"/>
              </w:rPr>
            </w:pPr>
            <w:r w:rsidRPr="00D05DC5">
              <w:rPr>
                <w:b/>
                <w:sz w:val="26"/>
                <w:szCs w:val="26"/>
              </w:rPr>
              <w:t>Đặc tính kỹ thuật</w:t>
            </w:r>
          </w:p>
        </w:tc>
        <w:tc>
          <w:tcPr>
            <w:tcW w:w="203" w:type="pct"/>
            <w:vAlign w:val="center"/>
          </w:tcPr>
          <w:p w14:paraId="27F91C7B" w14:textId="77777777" w:rsidR="00A90B45" w:rsidRPr="00D05DC5" w:rsidRDefault="00A90B45" w:rsidP="00CF5688">
            <w:pPr>
              <w:jc w:val="center"/>
              <w:rPr>
                <w:b/>
                <w:sz w:val="26"/>
                <w:szCs w:val="26"/>
              </w:rPr>
            </w:pPr>
            <w:r w:rsidRPr="00D05DC5">
              <w:rPr>
                <w:b/>
                <w:sz w:val="26"/>
                <w:szCs w:val="26"/>
              </w:rPr>
              <w:t>Mã HS</w:t>
            </w:r>
          </w:p>
        </w:tc>
        <w:tc>
          <w:tcPr>
            <w:tcW w:w="225" w:type="pct"/>
            <w:vAlign w:val="center"/>
          </w:tcPr>
          <w:p w14:paraId="1AC673B3" w14:textId="77777777" w:rsidR="00A90B45" w:rsidRPr="00D05DC5" w:rsidRDefault="00A90B45" w:rsidP="00CF5688">
            <w:pPr>
              <w:jc w:val="center"/>
              <w:rPr>
                <w:b/>
                <w:sz w:val="26"/>
                <w:szCs w:val="26"/>
              </w:rPr>
            </w:pPr>
            <w:r w:rsidRPr="00D05DC5">
              <w:rPr>
                <w:b/>
                <w:sz w:val="26"/>
                <w:szCs w:val="26"/>
              </w:rPr>
              <w:t>Nhà sản xuất</w:t>
            </w:r>
          </w:p>
        </w:tc>
        <w:tc>
          <w:tcPr>
            <w:tcW w:w="235" w:type="pct"/>
            <w:vAlign w:val="center"/>
          </w:tcPr>
          <w:p w14:paraId="4A516BC6" w14:textId="77777777" w:rsidR="00A90B45" w:rsidRPr="00D05DC5" w:rsidRDefault="00A90B45" w:rsidP="00CF5688">
            <w:pPr>
              <w:jc w:val="center"/>
              <w:rPr>
                <w:b/>
                <w:sz w:val="26"/>
                <w:szCs w:val="26"/>
              </w:rPr>
            </w:pPr>
            <w:r w:rsidRPr="00D05DC5">
              <w:rPr>
                <w:b/>
                <w:sz w:val="26"/>
                <w:szCs w:val="26"/>
              </w:rPr>
              <w:t>Nước sản xuất</w:t>
            </w:r>
          </w:p>
        </w:tc>
        <w:tc>
          <w:tcPr>
            <w:tcW w:w="215" w:type="pct"/>
            <w:vAlign w:val="center"/>
          </w:tcPr>
          <w:p w14:paraId="30A06B4A" w14:textId="77777777" w:rsidR="00A90B45" w:rsidRPr="00D05DC5" w:rsidRDefault="00A90B45" w:rsidP="00CF5688">
            <w:pPr>
              <w:jc w:val="center"/>
              <w:rPr>
                <w:b/>
                <w:sz w:val="26"/>
                <w:szCs w:val="26"/>
              </w:rPr>
            </w:pPr>
            <w:r w:rsidRPr="00D05DC5">
              <w:rPr>
                <w:b/>
                <w:sz w:val="26"/>
                <w:szCs w:val="26"/>
              </w:rPr>
              <w:t>ĐVT</w:t>
            </w:r>
          </w:p>
        </w:tc>
        <w:tc>
          <w:tcPr>
            <w:tcW w:w="250" w:type="pct"/>
            <w:vAlign w:val="center"/>
          </w:tcPr>
          <w:p w14:paraId="1540BFFD" w14:textId="77777777" w:rsidR="00A90B45" w:rsidRPr="00D05DC5" w:rsidRDefault="00A90B45" w:rsidP="00CF5688">
            <w:pPr>
              <w:jc w:val="center"/>
              <w:rPr>
                <w:b/>
                <w:sz w:val="26"/>
                <w:szCs w:val="26"/>
              </w:rPr>
            </w:pPr>
            <w:r w:rsidRPr="00D05DC5">
              <w:rPr>
                <w:b/>
                <w:sz w:val="26"/>
                <w:szCs w:val="26"/>
              </w:rPr>
              <w:t>Số lượng</w:t>
            </w:r>
          </w:p>
        </w:tc>
        <w:tc>
          <w:tcPr>
            <w:tcW w:w="342" w:type="pct"/>
            <w:vAlign w:val="center"/>
          </w:tcPr>
          <w:p w14:paraId="70121909" w14:textId="77777777" w:rsidR="00A90B45" w:rsidRPr="00D05DC5" w:rsidRDefault="00A90B45" w:rsidP="00CF5688">
            <w:pPr>
              <w:jc w:val="center"/>
              <w:rPr>
                <w:b/>
                <w:sz w:val="26"/>
                <w:szCs w:val="26"/>
              </w:rPr>
            </w:pPr>
            <w:r w:rsidRPr="00D05DC5">
              <w:rPr>
                <w:b/>
                <w:sz w:val="26"/>
                <w:szCs w:val="26"/>
              </w:rPr>
              <w:t>Đơn giá (VND)</w:t>
            </w:r>
          </w:p>
          <w:p w14:paraId="01575D18" w14:textId="77777777" w:rsidR="00A90B45" w:rsidRPr="00D05DC5" w:rsidRDefault="00A90B45" w:rsidP="00CF5688">
            <w:pPr>
              <w:jc w:val="center"/>
              <w:rPr>
                <w:b/>
                <w:sz w:val="26"/>
                <w:szCs w:val="26"/>
              </w:rPr>
            </w:pPr>
            <w:r w:rsidRPr="00D05DC5">
              <w:rPr>
                <w:b/>
                <w:sz w:val="26"/>
                <w:szCs w:val="26"/>
              </w:rPr>
              <w:t>có VAT</w:t>
            </w:r>
          </w:p>
        </w:tc>
        <w:tc>
          <w:tcPr>
            <w:tcW w:w="344" w:type="pct"/>
            <w:vAlign w:val="center"/>
          </w:tcPr>
          <w:p w14:paraId="0F9B07B6" w14:textId="77777777" w:rsidR="00A90B45" w:rsidRPr="00D05DC5" w:rsidRDefault="00A90B45" w:rsidP="00CF5688">
            <w:pPr>
              <w:jc w:val="center"/>
              <w:rPr>
                <w:b/>
                <w:sz w:val="26"/>
                <w:szCs w:val="26"/>
              </w:rPr>
            </w:pPr>
            <w:r w:rsidRPr="00D05DC5">
              <w:rPr>
                <w:b/>
                <w:sz w:val="26"/>
                <w:szCs w:val="26"/>
              </w:rPr>
              <w:t>Thành tiền (VND)</w:t>
            </w:r>
          </w:p>
          <w:p w14:paraId="4983881E" w14:textId="77777777" w:rsidR="00A90B45" w:rsidRPr="00D05DC5" w:rsidRDefault="00A90B45" w:rsidP="00CF5688">
            <w:pPr>
              <w:jc w:val="center"/>
              <w:rPr>
                <w:b/>
                <w:sz w:val="26"/>
                <w:szCs w:val="26"/>
              </w:rPr>
            </w:pPr>
            <w:r w:rsidRPr="00D05DC5">
              <w:rPr>
                <w:b/>
                <w:sz w:val="26"/>
                <w:szCs w:val="26"/>
              </w:rPr>
              <w:t>có VAT</w:t>
            </w:r>
          </w:p>
        </w:tc>
      </w:tr>
      <w:tr w:rsidR="00D6284D" w:rsidRPr="00D05DC5" w14:paraId="336E2C3A" w14:textId="77777777" w:rsidTr="00423602">
        <w:tc>
          <w:tcPr>
            <w:tcW w:w="201" w:type="pct"/>
            <w:vAlign w:val="center"/>
          </w:tcPr>
          <w:p w14:paraId="4D0A8D44" w14:textId="77777777" w:rsidR="00D6284D" w:rsidRPr="00D05DC5" w:rsidRDefault="00D6284D" w:rsidP="00D6284D">
            <w:pPr>
              <w:spacing w:before="120" w:after="120"/>
              <w:jc w:val="center"/>
              <w:rPr>
                <w:sz w:val="26"/>
                <w:szCs w:val="26"/>
              </w:rPr>
            </w:pPr>
            <w:r w:rsidRPr="00D05DC5">
              <w:rPr>
                <w:sz w:val="26"/>
                <w:szCs w:val="26"/>
              </w:rPr>
              <w:t>1</w:t>
            </w:r>
          </w:p>
        </w:tc>
        <w:tc>
          <w:tcPr>
            <w:tcW w:w="528" w:type="pct"/>
            <w:vAlign w:val="center"/>
          </w:tcPr>
          <w:p w14:paraId="28DA3A41" w14:textId="77777777" w:rsidR="00D6284D" w:rsidRPr="00D05DC5" w:rsidRDefault="00D6284D" w:rsidP="00D6284D">
            <w:pPr>
              <w:spacing w:beforeLines="60" w:before="144" w:afterLines="60" w:after="144"/>
              <w:contextualSpacing/>
              <w:jc w:val="center"/>
              <w:rPr>
                <w:b/>
                <w:sz w:val="26"/>
                <w:szCs w:val="26"/>
              </w:rPr>
            </w:pPr>
            <w:r w:rsidRPr="00D05DC5">
              <w:rPr>
                <w:sz w:val="26"/>
                <w:szCs w:val="26"/>
              </w:rPr>
              <w:t>Tấm Compact Laminate</w:t>
            </w:r>
          </w:p>
        </w:tc>
        <w:tc>
          <w:tcPr>
            <w:tcW w:w="2457" w:type="pct"/>
          </w:tcPr>
          <w:p w14:paraId="281E932E" w14:textId="77777777" w:rsidR="00D6284D" w:rsidRPr="00821A20" w:rsidRDefault="00D6284D" w:rsidP="00D6284D">
            <w:pPr>
              <w:spacing w:before="60" w:after="60"/>
              <w:jc w:val="both"/>
              <w:rPr>
                <w:sz w:val="26"/>
                <w:szCs w:val="26"/>
              </w:rPr>
            </w:pPr>
            <w:r w:rsidRPr="00821A20">
              <w:rPr>
                <w:sz w:val="26"/>
                <w:szCs w:val="26"/>
              </w:rPr>
              <w:t>+ Đáp ứng tiêu chuẩn xanh (Greenguard certificate);</w:t>
            </w:r>
          </w:p>
          <w:p w14:paraId="38012194" w14:textId="77777777" w:rsidR="00D6284D" w:rsidRPr="00821A20" w:rsidRDefault="00D6284D" w:rsidP="00D6284D">
            <w:pPr>
              <w:spacing w:before="60" w:after="60"/>
              <w:jc w:val="both"/>
              <w:rPr>
                <w:sz w:val="26"/>
                <w:szCs w:val="26"/>
              </w:rPr>
            </w:pPr>
            <w:r w:rsidRPr="00821A20">
              <w:rPr>
                <w:sz w:val="26"/>
                <w:szCs w:val="26"/>
              </w:rPr>
              <w:t>+ Kích thước khổ tấm theo bản vẽ, mài bo các cạnh;</w:t>
            </w:r>
          </w:p>
          <w:p w14:paraId="1E720AC0" w14:textId="77777777" w:rsidR="00D6284D" w:rsidRPr="00821A20" w:rsidRDefault="00D6284D" w:rsidP="00D6284D">
            <w:pPr>
              <w:spacing w:before="60" w:after="60"/>
              <w:jc w:val="both"/>
              <w:rPr>
                <w:sz w:val="26"/>
                <w:szCs w:val="26"/>
              </w:rPr>
            </w:pPr>
            <w:r w:rsidRPr="00821A20">
              <w:rPr>
                <w:sz w:val="26"/>
                <w:szCs w:val="26"/>
              </w:rPr>
              <w:t>+ Độ dày tấm 6mm;</w:t>
            </w:r>
          </w:p>
          <w:p w14:paraId="18133561" w14:textId="77777777" w:rsidR="00D6284D" w:rsidRPr="00821A20" w:rsidRDefault="00D6284D" w:rsidP="00D6284D">
            <w:pPr>
              <w:spacing w:before="60" w:after="60"/>
              <w:jc w:val="both"/>
              <w:rPr>
                <w:sz w:val="26"/>
                <w:szCs w:val="26"/>
              </w:rPr>
            </w:pPr>
            <w:r w:rsidRPr="00821A20">
              <w:rPr>
                <w:sz w:val="26"/>
                <w:szCs w:val="26"/>
              </w:rPr>
              <w:t>+ Độ dày lớp phủ laminate tối thiểu 0,8mm;</w:t>
            </w:r>
          </w:p>
          <w:p w14:paraId="33F3849C" w14:textId="77777777" w:rsidR="00D6284D" w:rsidRPr="00821A20" w:rsidRDefault="00D6284D" w:rsidP="00D6284D">
            <w:pPr>
              <w:spacing w:before="60" w:after="60"/>
              <w:jc w:val="both"/>
              <w:rPr>
                <w:sz w:val="26"/>
                <w:szCs w:val="26"/>
              </w:rPr>
            </w:pPr>
            <w:r w:rsidRPr="00821A20">
              <w:rPr>
                <w:sz w:val="26"/>
                <w:szCs w:val="26"/>
              </w:rPr>
              <w:t>+ Chống mài mòn bề mặt: tối thiểu 350 vòng;</w:t>
            </w:r>
          </w:p>
          <w:p w14:paraId="20331B42" w14:textId="77777777" w:rsidR="00D6284D" w:rsidRPr="00821A20" w:rsidRDefault="00D6284D" w:rsidP="00D6284D">
            <w:pPr>
              <w:spacing w:before="60" w:after="60"/>
              <w:jc w:val="both"/>
              <w:rPr>
                <w:sz w:val="26"/>
                <w:szCs w:val="26"/>
              </w:rPr>
            </w:pPr>
            <w:r w:rsidRPr="00821A20">
              <w:rPr>
                <w:sz w:val="26"/>
                <w:szCs w:val="26"/>
              </w:rPr>
              <w:t>+ Chống chịu khi ngâm nước sôi: tăng khối lượng &lt; 0,6%; tăng chiều dày &lt; 0,6%;</w:t>
            </w:r>
          </w:p>
          <w:p w14:paraId="63A96A7F" w14:textId="77777777" w:rsidR="00D6284D" w:rsidRPr="00821A20" w:rsidRDefault="00D6284D" w:rsidP="00D6284D">
            <w:pPr>
              <w:spacing w:before="60" w:after="60"/>
              <w:jc w:val="both"/>
              <w:rPr>
                <w:sz w:val="26"/>
                <w:szCs w:val="26"/>
              </w:rPr>
            </w:pPr>
            <w:r w:rsidRPr="00821A20">
              <w:rPr>
                <w:sz w:val="26"/>
                <w:szCs w:val="26"/>
              </w:rPr>
              <w:t>+ Chống hơi nóng: mức 5 (không thay đổi quan sát được);</w:t>
            </w:r>
          </w:p>
          <w:p w14:paraId="75677AD3" w14:textId="77777777" w:rsidR="00D6284D" w:rsidRPr="00821A20" w:rsidRDefault="00D6284D" w:rsidP="00D6284D">
            <w:pPr>
              <w:spacing w:before="60" w:after="60"/>
              <w:jc w:val="both"/>
              <w:rPr>
                <w:sz w:val="26"/>
                <w:szCs w:val="26"/>
              </w:rPr>
            </w:pPr>
            <w:r w:rsidRPr="00821A20">
              <w:rPr>
                <w:sz w:val="26"/>
                <w:szCs w:val="26"/>
              </w:rPr>
              <w:t>+ Chống chịu nhiệt khô: mức 5 (không thay đổi quan sát được);</w:t>
            </w:r>
          </w:p>
          <w:p w14:paraId="1DDFF80D" w14:textId="77777777" w:rsidR="00D6284D" w:rsidRPr="00821A20" w:rsidRDefault="00D6284D" w:rsidP="00D6284D">
            <w:pPr>
              <w:spacing w:before="60" w:after="60"/>
              <w:jc w:val="both"/>
              <w:rPr>
                <w:sz w:val="26"/>
                <w:szCs w:val="26"/>
              </w:rPr>
            </w:pPr>
            <w:r w:rsidRPr="00821A20">
              <w:rPr>
                <w:sz w:val="26"/>
                <w:szCs w:val="26"/>
              </w:rPr>
              <w:t>+ Ổn định kích thước khi nhiệt độ tăng: &lt; 0,1%;</w:t>
            </w:r>
          </w:p>
          <w:p w14:paraId="343BC6E4" w14:textId="77777777" w:rsidR="00D6284D" w:rsidRPr="00821A20" w:rsidRDefault="00D6284D" w:rsidP="00D6284D">
            <w:pPr>
              <w:spacing w:before="60" w:after="60"/>
              <w:jc w:val="both"/>
              <w:rPr>
                <w:sz w:val="26"/>
                <w:szCs w:val="26"/>
              </w:rPr>
            </w:pPr>
            <w:r w:rsidRPr="00821A20">
              <w:rPr>
                <w:sz w:val="26"/>
                <w:szCs w:val="26"/>
              </w:rPr>
              <w:t>+ Chống chịu nhiệt ẩm: mức 5 (không thay đổi);</w:t>
            </w:r>
          </w:p>
          <w:p w14:paraId="7449ED32" w14:textId="77777777" w:rsidR="00D6284D" w:rsidRPr="00821A20" w:rsidRDefault="00D6284D" w:rsidP="00D6284D">
            <w:pPr>
              <w:spacing w:before="60" w:after="60"/>
              <w:jc w:val="both"/>
              <w:rPr>
                <w:sz w:val="26"/>
                <w:szCs w:val="26"/>
              </w:rPr>
            </w:pPr>
            <w:r w:rsidRPr="00821A20">
              <w:rPr>
                <w:sz w:val="26"/>
                <w:szCs w:val="26"/>
              </w:rPr>
              <w:t>+ Chống va đập (của quả bóng có đường kính nhỏ): 90N (không nứt);</w:t>
            </w:r>
          </w:p>
          <w:p w14:paraId="531D853C" w14:textId="77777777" w:rsidR="00D6284D" w:rsidRPr="00821A20" w:rsidRDefault="00D6284D" w:rsidP="00D6284D">
            <w:pPr>
              <w:spacing w:before="60" w:after="60"/>
              <w:jc w:val="both"/>
              <w:rPr>
                <w:sz w:val="26"/>
                <w:szCs w:val="26"/>
              </w:rPr>
            </w:pPr>
            <w:r w:rsidRPr="00821A20">
              <w:rPr>
                <w:sz w:val="26"/>
                <w:szCs w:val="26"/>
              </w:rPr>
              <w:t>+ Chống trầy xước: mức 3;</w:t>
            </w:r>
          </w:p>
          <w:p w14:paraId="2E8D2232" w14:textId="77777777" w:rsidR="00D6284D" w:rsidRPr="00821A20" w:rsidRDefault="00D6284D" w:rsidP="00D6284D">
            <w:pPr>
              <w:spacing w:before="60" w:after="60"/>
              <w:jc w:val="both"/>
              <w:rPr>
                <w:sz w:val="26"/>
                <w:szCs w:val="26"/>
              </w:rPr>
            </w:pPr>
            <w:r w:rsidRPr="00821A20">
              <w:rPr>
                <w:sz w:val="26"/>
                <w:szCs w:val="26"/>
              </w:rPr>
              <w:t>+ Chống ố bẩn:</w:t>
            </w:r>
          </w:p>
          <w:p w14:paraId="77659201" w14:textId="77777777" w:rsidR="00D6284D" w:rsidRPr="00821A20" w:rsidRDefault="00D6284D" w:rsidP="00D6284D">
            <w:pPr>
              <w:pStyle w:val="ListParagraph"/>
              <w:numPr>
                <w:ilvl w:val="0"/>
                <w:numId w:val="3"/>
              </w:numPr>
              <w:spacing w:before="60" w:after="60"/>
              <w:ind w:left="374" w:hanging="261"/>
              <w:contextualSpacing w:val="0"/>
              <w:jc w:val="both"/>
              <w:rPr>
                <w:sz w:val="26"/>
                <w:szCs w:val="26"/>
              </w:rPr>
            </w:pPr>
            <w:r w:rsidRPr="00821A20">
              <w:rPr>
                <w:sz w:val="26"/>
                <w:szCs w:val="26"/>
              </w:rPr>
              <w:lastRenderedPageBreak/>
              <w:t xml:space="preserve">Acetone + cà phê (16 giờ): mức 5 (không thay đổi); </w:t>
            </w:r>
          </w:p>
          <w:p w14:paraId="0E9F3943" w14:textId="77777777" w:rsidR="00D6284D" w:rsidRPr="00821A20" w:rsidRDefault="00D6284D" w:rsidP="00D6284D">
            <w:pPr>
              <w:pStyle w:val="ListParagraph"/>
              <w:numPr>
                <w:ilvl w:val="0"/>
                <w:numId w:val="3"/>
              </w:numPr>
              <w:spacing w:before="60" w:after="60"/>
              <w:ind w:left="374" w:hanging="261"/>
              <w:contextualSpacing w:val="0"/>
              <w:jc w:val="both"/>
              <w:rPr>
                <w:sz w:val="26"/>
                <w:szCs w:val="26"/>
              </w:rPr>
            </w:pPr>
            <w:r w:rsidRPr="00821A20">
              <w:rPr>
                <w:sz w:val="26"/>
                <w:szCs w:val="26"/>
              </w:rPr>
              <w:t>Sodium Hydroxide (dung dịch 25%) + Hydrogen Peroxide (dung dịch 30%) (10 phút): mức 5 (không thay đổi).</w:t>
            </w:r>
          </w:p>
          <w:p w14:paraId="0D646D6D" w14:textId="77777777" w:rsidR="00D6284D" w:rsidRPr="00821A20" w:rsidRDefault="00D6284D" w:rsidP="00D6284D">
            <w:pPr>
              <w:spacing w:before="60" w:after="60"/>
              <w:jc w:val="both"/>
              <w:rPr>
                <w:sz w:val="26"/>
                <w:szCs w:val="26"/>
              </w:rPr>
            </w:pPr>
            <w:r w:rsidRPr="00821A20">
              <w:rPr>
                <w:sz w:val="26"/>
                <w:szCs w:val="26"/>
              </w:rPr>
              <w:t>+ Độ bền ánh sáng: tối thiểu mức 4 (theo thang màu xám);</w:t>
            </w:r>
          </w:p>
          <w:p w14:paraId="60C696E8" w14:textId="77777777" w:rsidR="00D6284D" w:rsidRPr="00821A20" w:rsidRDefault="00D6284D" w:rsidP="00D6284D">
            <w:pPr>
              <w:spacing w:before="60" w:after="60"/>
              <w:jc w:val="both"/>
              <w:rPr>
                <w:sz w:val="26"/>
                <w:szCs w:val="26"/>
              </w:rPr>
            </w:pPr>
            <w:r w:rsidRPr="00821A20">
              <w:rPr>
                <w:sz w:val="26"/>
                <w:szCs w:val="26"/>
              </w:rPr>
              <w:t>+ Chống tàn thuốc lá: mức 3;</w:t>
            </w:r>
          </w:p>
          <w:p w14:paraId="3D9837D8" w14:textId="77777777" w:rsidR="00D6284D" w:rsidRPr="00821A20" w:rsidRDefault="00D6284D" w:rsidP="00D6284D">
            <w:pPr>
              <w:spacing w:before="60" w:after="60"/>
              <w:jc w:val="both"/>
              <w:rPr>
                <w:sz w:val="26"/>
                <w:szCs w:val="26"/>
              </w:rPr>
            </w:pPr>
            <w:r w:rsidRPr="00821A20">
              <w:rPr>
                <w:sz w:val="26"/>
                <w:szCs w:val="26"/>
              </w:rPr>
              <w:t xml:space="preserve">+ Tất cả các thông số của sản phẩm phải đáp ứng theo tiêu chuẩn EN </w:t>
            </w:r>
            <w:proofErr w:type="gramStart"/>
            <w:r w:rsidRPr="00821A20">
              <w:rPr>
                <w:sz w:val="26"/>
                <w:szCs w:val="26"/>
              </w:rPr>
              <w:t>438 :</w:t>
            </w:r>
            <w:proofErr w:type="gramEnd"/>
            <w:r w:rsidRPr="00821A20">
              <w:rPr>
                <w:sz w:val="26"/>
                <w:szCs w:val="26"/>
              </w:rPr>
              <w:t xml:space="preserve"> 2016 hoặc các tiêu chuẩn khác tương đương;</w:t>
            </w:r>
          </w:p>
          <w:p w14:paraId="7F9B3B6A" w14:textId="13A33316" w:rsidR="00D6284D" w:rsidRPr="00D05DC5" w:rsidRDefault="00D6284D" w:rsidP="00D6284D">
            <w:pPr>
              <w:spacing w:before="60" w:after="60"/>
              <w:jc w:val="both"/>
              <w:rPr>
                <w:sz w:val="26"/>
                <w:szCs w:val="26"/>
              </w:rPr>
            </w:pPr>
            <w:r w:rsidRPr="00821A20">
              <w:rPr>
                <w:sz w:val="26"/>
                <w:szCs w:val="26"/>
              </w:rPr>
              <w:t>+ Màu và vân theo sự lựa chọn của Chủ đầu tư.</w:t>
            </w:r>
          </w:p>
        </w:tc>
        <w:tc>
          <w:tcPr>
            <w:tcW w:w="203" w:type="pct"/>
          </w:tcPr>
          <w:p w14:paraId="014360DA" w14:textId="77777777" w:rsidR="00D6284D" w:rsidRPr="00D05DC5" w:rsidRDefault="00D6284D" w:rsidP="00D6284D">
            <w:pPr>
              <w:spacing w:before="120" w:after="120"/>
              <w:jc w:val="center"/>
              <w:rPr>
                <w:b/>
                <w:sz w:val="26"/>
                <w:szCs w:val="26"/>
              </w:rPr>
            </w:pPr>
          </w:p>
        </w:tc>
        <w:tc>
          <w:tcPr>
            <w:tcW w:w="225" w:type="pct"/>
            <w:vAlign w:val="center"/>
          </w:tcPr>
          <w:p w14:paraId="10E72ABE" w14:textId="77777777" w:rsidR="00D6284D" w:rsidRPr="00D05DC5" w:rsidRDefault="00D6284D" w:rsidP="00D6284D">
            <w:pPr>
              <w:spacing w:before="120" w:after="120"/>
              <w:jc w:val="center"/>
              <w:rPr>
                <w:b/>
                <w:sz w:val="26"/>
                <w:szCs w:val="26"/>
              </w:rPr>
            </w:pPr>
          </w:p>
        </w:tc>
        <w:tc>
          <w:tcPr>
            <w:tcW w:w="235" w:type="pct"/>
            <w:vAlign w:val="center"/>
          </w:tcPr>
          <w:p w14:paraId="0F5F8090" w14:textId="77777777" w:rsidR="00D6284D" w:rsidRPr="00D05DC5" w:rsidRDefault="00D6284D" w:rsidP="00D6284D">
            <w:pPr>
              <w:spacing w:before="60" w:after="60"/>
              <w:jc w:val="center"/>
              <w:rPr>
                <w:sz w:val="26"/>
                <w:szCs w:val="26"/>
              </w:rPr>
            </w:pPr>
          </w:p>
        </w:tc>
        <w:tc>
          <w:tcPr>
            <w:tcW w:w="215" w:type="pct"/>
            <w:vAlign w:val="center"/>
          </w:tcPr>
          <w:p w14:paraId="5DD3C281" w14:textId="77777777" w:rsidR="00D6284D" w:rsidRPr="00D05DC5" w:rsidRDefault="00D6284D" w:rsidP="00D6284D">
            <w:pPr>
              <w:spacing w:beforeLines="60" w:before="144" w:afterLines="60" w:after="144"/>
              <w:contextualSpacing/>
              <w:jc w:val="center"/>
              <w:rPr>
                <w:b/>
                <w:sz w:val="26"/>
                <w:szCs w:val="26"/>
              </w:rPr>
            </w:pPr>
            <w:r w:rsidRPr="00D05DC5">
              <w:rPr>
                <w:sz w:val="26"/>
                <w:szCs w:val="26"/>
              </w:rPr>
              <w:t>m²</w:t>
            </w:r>
          </w:p>
        </w:tc>
        <w:tc>
          <w:tcPr>
            <w:tcW w:w="250" w:type="pct"/>
            <w:vAlign w:val="center"/>
          </w:tcPr>
          <w:p w14:paraId="1FD9BB2D" w14:textId="4F5F3715" w:rsidR="00D6284D" w:rsidRPr="00D05DC5" w:rsidRDefault="00D6284D" w:rsidP="00D6284D">
            <w:pPr>
              <w:spacing w:beforeLines="60" w:before="144" w:afterLines="60" w:after="144"/>
              <w:ind w:left="-57" w:right="-57"/>
              <w:contextualSpacing/>
              <w:jc w:val="center"/>
              <w:rPr>
                <w:bCs/>
                <w:sz w:val="26"/>
                <w:szCs w:val="26"/>
              </w:rPr>
            </w:pPr>
            <w:r>
              <w:rPr>
                <w:bCs/>
                <w:sz w:val="26"/>
                <w:szCs w:val="26"/>
              </w:rPr>
              <w:t>1.215</w:t>
            </w:r>
          </w:p>
        </w:tc>
        <w:tc>
          <w:tcPr>
            <w:tcW w:w="342" w:type="pct"/>
          </w:tcPr>
          <w:p w14:paraId="7EEE6325" w14:textId="77777777" w:rsidR="00D6284D" w:rsidRPr="00D05DC5" w:rsidRDefault="00D6284D" w:rsidP="00D6284D">
            <w:pPr>
              <w:spacing w:before="120" w:after="120"/>
              <w:rPr>
                <w:b/>
                <w:sz w:val="26"/>
                <w:szCs w:val="26"/>
              </w:rPr>
            </w:pPr>
          </w:p>
        </w:tc>
        <w:tc>
          <w:tcPr>
            <w:tcW w:w="344" w:type="pct"/>
          </w:tcPr>
          <w:p w14:paraId="1A5E6C51" w14:textId="77777777" w:rsidR="00D6284D" w:rsidRPr="00D05DC5" w:rsidRDefault="00D6284D" w:rsidP="00D6284D">
            <w:pPr>
              <w:spacing w:before="120" w:after="120"/>
              <w:rPr>
                <w:b/>
                <w:sz w:val="26"/>
                <w:szCs w:val="26"/>
              </w:rPr>
            </w:pPr>
          </w:p>
        </w:tc>
      </w:tr>
      <w:tr w:rsidR="00D05DC5" w:rsidRPr="00D05DC5" w14:paraId="193EF6A6" w14:textId="77777777" w:rsidTr="00423602">
        <w:tc>
          <w:tcPr>
            <w:tcW w:w="4656" w:type="pct"/>
            <w:gridSpan w:val="9"/>
            <w:vAlign w:val="center"/>
          </w:tcPr>
          <w:p w14:paraId="24A38DE1" w14:textId="77777777" w:rsidR="00A90B45" w:rsidRPr="00D05DC5" w:rsidRDefault="00A90B45" w:rsidP="00D6284D">
            <w:pPr>
              <w:spacing w:before="120" w:after="120"/>
              <w:jc w:val="center"/>
              <w:rPr>
                <w:b/>
                <w:sz w:val="26"/>
                <w:szCs w:val="26"/>
              </w:rPr>
            </w:pPr>
            <w:r w:rsidRPr="00D05DC5">
              <w:rPr>
                <w:b/>
                <w:sz w:val="26"/>
                <w:szCs w:val="26"/>
              </w:rPr>
              <w:lastRenderedPageBreak/>
              <w:t>Tổng cộng</w:t>
            </w:r>
          </w:p>
        </w:tc>
        <w:tc>
          <w:tcPr>
            <w:tcW w:w="344" w:type="pct"/>
          </w:tcPr>
          <w:p w14:paraId="3186BE4A" w14:textId="77777777" w:rsidR="00A90B45" w:rsidRPr="00D05DC5" w:rsidRDefault="00A90B45" w:rsidP="00CF5688">
            <w:pPr>
              <w:spacing w:before="120" w:after="120"/>
              <w:rPr>
                <w:b/>
                <w:sz w:val="26"/>
                <w:szCs w:val="26"/>
              </w:rPr>
            </w:pPr>
          </w:p>
        </w:tc>
      </w:tr>
    </w:tbl>
    <w:p w14:paraId="1F890903" w14:textId="2BD37F60" w:rsidR="00197781" w:rsidRPr="00D05DC5" w:rsidRDefault="00197781" w:rsidP="00D6284D">
      <w:pPr>
        <w:pStyle w:val="ListParagraph"/>
        <w:numPr>
          <w:ilvl w:val="0"/>
          <w:numId w:val="2"/>
        </w:numPr>
        <w:spacing w:before="60" w:after="60"/>
        <w:contextualSpacing w:val="0"/>
        <w:rPr>
          <w:b/>
          <w:bCs/>
          <w:sz w:val="26"/>
          <w:szCs w:val="26"/>
        </w:rPr>
      </w:pPr>
      <w:r w:rsidRPr="00D05DC5">
        <w:rPr>
          <w:b/>
          <w:bCs/>
          <w:sz w:val="26"/>
          <w:szCs w:val="26"/>
        </w:rPr>
        <w:t>Yêu cầu báo giá:</w:t>
      </w:r>
    </w:p>
    <w:p w14:paraId="672B6F3C" w14:textId="77777777" w:rsidR="00197781" w:rsidRPr="00D05DC5" w:rsidRDefault="00197781" w:rsidP="00D6284D">
      <w:pPr>
        <w:spacing w:before="60" w:after="60"/>
        <w:ind w:firstLine="284"/>
        <w:jc w:val="both"/>
        <w:rPr>
          <w:sz w:val="26"/>
          <w:szCs w:val="26"/>
        </w:rPr>
      </w:pPr>
      <w:r w:rsidRPr="00D05DC5">
        <w:rPr>
          <w:sz w:val="26"/>
          <w:szCs w:val="26"/>
        </w:rPr>
        <w:t>- Báo giá này có hiệu lực …..</w:t>
      </w:r>
      <w:r w:rsidRPr="00D05DC5">
        <w:rPr>
          <w:sz w:val="26"/>
          <w:szCs w:val="26"/>
          <w:vertAlign w:val="superscript"/>
        </w:rPr>
        <w:t>(</w:t>
      </w:r>
      <w:r w:rsidRPr="00D05DC5">
        <w:rPr>
          <w:rStyle w:val="FootnoteReference"/>
          <w:sz w:val="26"/>
          <w:szCs w:val="26"/>
          <w:vertAlign w:val="superscript"/>
        </w:rPr>
        <w:footnoteReference w:id="1"/>
      </w:r>
      <w:r w:rsidRPr="00D05DC5">
        <w:rPr>
          <w:sz w:val="26"/>
          <w:szCs w:val="26"/>
          <w:vertAlign w:val="superscript"/>
        </w:rPr>
        <w:t>)</w:t>
      </w:r>
      <w:r w:rsidRPr="00D05DC5">
        <w:rPr>
          <w:sz w:val="26"/>
          <w:szCs w:val="26"/>
        </w:rPr>
        <w:t xml:space="preserve"> ngày kể từ ngày báo giá;</w:t>
      </w:r>
    </w:p>
    <w:p w14:paraId="08574504" w14:textId="77777777" w:rsidR="00197781" w:rsidRPr="00D05DC5" w:rsidRDefault="00197781" w:rsidP="00D6284D">
      <w:pPr>
        <w:spacing w:before="60" w:after="60"/>
        <w:ind w:firstLine="284"/>
        <w:jc w:val="both"/>
        <w:rPr>
          <w:sz w:val="26"/>
          <w:szCs w:val="26"/>
        </w:rPr>
      </w:pPr>
      <w:r w:rsidRPr="00D05DC5">
        <w:rPr>
          <w:sz w:val="26"/>
          <w:szCs w:val="26"/>
        </w:rPr>
        <w:t>- Chúng tôi cam kết về đơn giá chào hàng bằng hoặc thấp hơn giá trên thị trường của cùng nhà cung ứng hoặc cùng chủng loại;</w:t>
      </w:r>
    </w:p>
    <w:p w14:paraId="0EA76074" w14:textId="3838FBF1" w:rsidR="00E20570" w:rsidRPr="00D05DC5" w:rsidRDefault="00D6284D" w:rsidP="00D6284D">
      <w:pPr>
        <w:spacing w:before="60" w:after="60"/>
        <w:ind w:firstLine="284"/>
        <w:jc w:val="both"/>
        <w:rPr>
          <w:sz w:val="26"/>
          <w:szCs w:val="26"/>
        </w:rPr>
      </w:pPr>
      <w:r>
        <w:rPr>
          <w:sz w:val="26"/>
          <w:szCs w:val="26"/>
        </w:rPr>
        <w:t>- Hàng hóa cung cấp mới 100%</w:t>
      </w:r>
      <w:r w:rsidR="00E20570" w:rsidRPr="00D05DC5">
        <w:rPr>
          <w:sz w:val="26"/>
          <w:szCs w:val="26"/>
        </w:rPr>
        <w:t>;</w:t>
      </w:r>
    </w:p>
    <w:p w14:paraId="462C050D" w14:textId="534A1414" w:rsidR="00E20570" w:rsidRPr="00D05DC5" w:rsidRDefault="00E20570" w:rsidP="00D6284D">
      <w:pPr>
        <w:spacing w:before="60" w:after="60"/>
        <w:ind w:firstLine="284"/>
        <w:jc w:val="both"/>
        <w:rPr>
          <w:sz w:val="26"/>
          <w:szCs w:val="26"/>
        </w:rPr>
      </w:pPr>
      <w:r w:rsidRPr="00D05DC5">
        <w:rPr>
          <w:sz w:val="26"/>
          <w:szCs w:val="26"/>
        </w:rPr>
        <w:t>- Hàng hóa giao phải còn “nguyên đai, nguyên kiện”, bao bì không bị rách hoặc xé bỏ hoặc bị thấm nước khi giao hàng.</w:t>
      </w:r>
    </w:p>
    <w:p w14:paraId="21CAA56E" w14:textId="4E9CC7F5" w:rsidR="00E20570" w:rsidRPr="00D05DC5" w:rsidRDefault="00E20570" w:rsidP="00D6284D">
      <w:pPr>
        <w:spacing w:before="60" w:after="60"/>
        <w:ind w:firstLine="284"/>
        <w:jc w:val="both"/>
        <w:rPr>
          <w:sz w:val="26"/>
          <w:szCs w:val="26"/>
        </w:rPr>
      </w:pPr>
      <w:r w:rsidRPr="00D05DC5">
        <w:rPr>
          <w:sz w:val="26"/>
          <w:szCs w:val="26"/>
        </w:rPr>
        <w:t>- Hàng hóa phải có nguồn gốc xuất xứ rõ ràng;</w:t>
      </w:r>
    </w:p>
    <w:p w14:paraId="76394167" w14:textId="2264EBA4" w:rsidR="00E20570" w:rsidRPr="00D05DC5" w:rsidRDefault="00E20570" w:rsidP="00D6284D">
      <w:pPr>
        <w:spacing w:before="60" w:after="60"/>
        <w:ind w:firstLine="284"/>
        <w:jc w:val="both"/>
        <w:rPr>
          <w:sz w:val="26"/>
          <w:szCs w:val="26"/>
        </w:rPr>
      </w:pPr>
      <w:r w:rsidRPr="00D05DC5">
        <w:rPr>
          <w:sz w:val="26"/>
          <w:szCs w:val="26"/>
        </w:rPr>
        <w:t>- Nhà thầu chịu trách nhiệm gia công, khoan, cắt lỗ chờ trên tấm theo yêu cầu được quy định trong bản vẽ chi tiết vị trí đính kèm và khảo sát thực tế đo đạc;</w:t>
      </w:r>
    </w:p>
    <w:p w14:paraId="0D8F0176" w14:textId="6E9368EB" w:rsidR="00E20570" w:rsidRPr="00D05DC5" w:rsidRDefault="00E20570" w:rsidP="00D6284D">
      <w:pPr>
        <w:spacing w:before="60" w:after="60"/>
        <w:ind w:firstLine="284"/>
        <w:jc w:val="both"/>
        <w:rPr>
          <w:sz w:val="26"/>
          <w:szCs w:val="26"/>
        </w:rPr>
      </w:pPr>
      <w:r w:rsidRPr="00D05DC5">
        <w:rPr>
          <w:sz w:val="26"/>
          <w:szCs w:val="26"/>
        </w:rPr>
        <w:t>- Nhà thầu thực hiện đầy đủ các trách nhiệm về đảm bảo chất lượng hàng hóa theo các quy định của pháp luật;</w:t>
      </w:r>
    </w:p>
    <w:p w14:paraId="3D7C1957" w14:textId="7123DE3B" w:rsidR="00E20570" w:rsidRPr="00D05DC5" w:rsidRDefault="00E20570" w:rsidP="00D6284D">
      <w:pPr>
        <w:spacing w:before="60" w:after="60"/>
        <w:ind w:firstLine="284"/>
        <w:jc w:val="both"/>
        <w:rPr>
          <w:sz w:val="26"/>
          <w:szCs w:val="26"/>
        </w:rPr>
      </w:pPr>
      <w:bookmarkStart w:id="1" w:name="_Hlk163506611"/>
      <w:r w:rsidRPr="00D05DC5">
        <w:rPr>
          <w:sz w:val="26"/>
          <w:szCs w:val="26"/>
        </w:rPr>
        <w:t>- Thời gian bảo hành tối thiểu 12 tháng kể từ ngày hàng hóa được nghiệm thu</w:t>
      </w:r>
      <w:r w:rsidR="00423602" w:rsidRPr="00D05DC5">
        <w:rPr>
          <w:sz w:val="26"/>
          <w:szCs w:val="26"/>
        </w:rPr>
        <w:t>;</w:t>
      </w:r>
    </w:p>
    <w:bookmarkEnd w:id="1"/>
    <w:p w14:paraId="4237B4DA" w14:textId="7FBC0D77" w:rsidR="00E20570" w:rsidRPr="00D05DC5" w:rsidRDefault="00E20570" w:rsidP="00D6284D">
      <w:pPr>
        <w:spacing w:before="60" w:after="60"/>
        <w:ind w:firstLine="284"/>
        <w:jc w:val="both"/>
        <w:rPr>
          <w:sz w:val="26"/>
          <w:szCs w:val="26"/>
        </w:rPr>
      </w:pPr>
      <w:r w:rsidRPr="00D05DC5">
        <w:rPr>
          <w:sz w:val="26"/>
          <w:szCs w:val="26"/>
        </w:rPr>
        <w:lastRenderedPageBreak/>
        <w:t xml:space="preserve">- Tuân thủ theo các quy định, quy trình của Bệnh viện Đại học Y Dược </w:t>
      </w:r>
      <w:r w:rsidR="00D6284D" w:rsidRPr="000A7132">
        <w:rPr>
          <w:sz w:val="26"/>
          <w:szCs w:val="26"/>
        </w:rPr>
        <w:t>Thành phố Hồ Chí Minh</w:t>
      </w:r>
      <w:r w:rsidRPr="00D05DC5">
        <w:rPr>
          <w:sz w:val="26"/>
          <w:szCs w:val="26"/>
        </w:rPr>
        <w:t>;</w:t>
      </w:r>
    </w:p>
    <w:p w14:paraId="6E21F6BE" w14:textId="50717CF2" w:rsidR="00E20570" w:rsidRPr="00D05DC5" w:rsidRDefault="00E20570" w:rsidP="00D6284D">
      <w:pPr>
        <w:spacing w:before="60" w:after="60"/>
        <w:ind w:firstLine="284"/>
        <w:jc w:val="both"/>
        <w:rPr>
          <w:sz w:val="26"/>
          <w:szCs w:val="26"/>
        </w:rPr>
      </w:pPr>
      <w:r w:rsidRPr="00D05DC5">
        <w:rPr>
          <w:sz w:val="26"/>
          <w:szCs w:val="26"/>
        </w:rPr>
        <w:t>- Chịu trách nhiệm bồi thường thiệt hại khi xảy ra sự cố trong quá trình thực hiện.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0"/>
      </w:tblGrid>
      <w:tr w:rsidR="00D05DC5" w:rsidRPr="00D05DC5" w14:paraId="6A79159C" w14:textId="77777777" w:rsidTr="00EF415E">
        <w:tc>
          <w:tcPr>
            <w:tcW w:w="2500" w:type="pct"/>
          </w:tcPr>
          <w:p w14:paraId="03C420FA" w14:textId="77777777" w:rsidR="00EF415E" w:rsidRPr="00D05DC5" w:rsidRDefault="00EF415E" w:rsidP="00EF415E">
            <w:pPr>
              <w:spacing w:before="80" w:after="80"/>
              <w:rPr>
                <w:bCs/>
                <w:sz w:val="26"/>
                <w:szCs w:val="26"/>
              </w:rPr>
            </w:pPr>
          </w:p>
        </w:tc>
        <w:tc>
          <w:tcPr>
            <w:tcW w:w="2500" w:type="pct"/>
          </w:tcPr>
          <w:p w14:paraId="1631D889" w14:textId="77777777" w:rsidR="00EF415E" w:rsidRPr="00D05DC5" w:rsidRDefault="00EF415E" w:rsidP="00EF415E">
            <w:pPr>
              <w:spacing w:before="120" w:after="120"/>
              <w:jc w:val="center"/>
              <w:rPr>
                <w:sz w:val="26"/>
                <w:szCs w:val="26"/>
              </w:rPr>
            </w:pPr>
            <w:r w:rsidRPr="00D05DC5">
              <w:rPr>
                <w:sz w:val="26"/>
                <w:szCs w:val="26"/>
              </w:rPr>
              <w:t>Ngày … tháng …. năm 2024</w:t>
            </w:r>
          </w:p>
          <w:p w14:paraId="114CBEB6" w14:textId="77777777" w:rsidR="00EF415E" w:rsidRPr="00D05DC5" w:rsidRDefault="00EF415E" w:rsidP="00EF415E">
            <w:pPr>
              <w:spacing w:before="120" w:after="120"/>
              <w:jc w:val="center"/>
              <w:rPr>
                <w:b/>
                <w:bCs/>
                <w:sz w:val="26"/>
                <w:szCs w:val="26"/>
              </w:rPr>
            </w:pPr>
            <w:r w:rsidRPr="00D05DC5">
              <w:rPr>
                <w:b/>
                <w:bCs/>
                <w:sz w:val="26"/>
                <w:szCs w:val="26"/>
              </w:rPr>
              <w:t>ĐẠI DIỆN THEO PHÁP LUẬT</w:t>
            </w:r>
          </w:p>
          <w:p w14:paraId="483D15C6" w14:textId="77777777" w:rsidR="00EF415E" w:rsidRPr="00D05DC5" w:rsidRDefault="00EF415E" w:rsidP="00EF415E">
            <w:pPr>
              <w:spacing w:before="120" w:after="120"/>
              <w:jc w:val="center"/>
              <w:rPr>
                <w:sz w:val="26"/>
                <w:szCs w:val="26"/>
              </w:rPr>
            </w:pPr>
            <w:r w:rsidRPr="00D05DC5">
              <w:rPr>
                <w:sz w:val="26"/>
                <w:szCs w:val="26"/>
              </w:rPr>
              <w:t>(Ký tên và đóng dấu)</w:t>
            </w:r>
          </w:p>
        </w:tc>
      </w:tr>
    </w:tbl>
    <w:p w14:paraId="423EE2DB" w14:textId="77777777" w:rsidR="00EF415E" w:rsidRPr="00D05DC5" w:rsidRDefault="00EF415E" w:rsidP="00197781">
      <w:pPr>
        <w:spacing w:before="80" w:after="80"/>
        <w:ind w:firstLine="567"/>
        <w:rPr>
          <w:bCs/>
          <w:sz w:val="26"/>
          <w:szCs w:val="26"/>
        </w:rPr>
      </w:pPr>
    </w:p>
    <w:sectPr w:rsidR="00EF415E" w:rsidRPr="00D05DC5" w:rsidSect="00423602">
      <w:headerReference w:type="default" r:id="rId14"/>
      <w:footerReference w:type="default" r:id="rId15"/>
      <w:footerReference w:type="first" r:id="rId16"/>
      <w:pgSz w:w="16839" w:h="11907" w:orient="landscape" w:code="9"/>
      <w:pgMar w:top="1134" w:right="1134" w:bottom="1134" w:left="1701" w:header="510" w:footer="46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2930D" w14:textId="77777777" w:rsidR="002E0FD4" w:rsidRDefault="002E0FD4">
      <w:r>
        <w:separator/>
      </w:r>
    </w:p>
  </w:endnote>
  <w:endnote w:type="continuationSeparator" w:id="0">
    <w:p w14:paraId="22C2FF8E" w14:textId="77777777" w:rsidR="002E0FD4" w:rsidRDefault="002E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2D7E" w14:textId="77777777" w:rsidR="008E3C67" w:rsidRDefault="008E3C67">
    <w:pPr>
      <w:pStyle w:val="Footer"/>
    </w:pPr>
  </w:p>
  <w:p w14:paraId="1D93DAB2" w14:textId="77777777" w:rsidR="008E3C67" w:rsidRDefault="008E3C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8E3C67" w14:paraId="4FBFAF29" w14:textId="77777777">
      <w:tc>
        <w:tcPr>
          <w:tcW w:w="2801" w:type="dxa"/>
        </w:tcPr>
        <w:p w14:paraId="59D5FEAA" w14:textId="77777777" w:rsidR="008E3C67" w:rsidRDefault="002E0FD4">
          <w:pPr>
            <w:jc w:val="center"/>
          </w:pPr>
          <w:sdt>
            <w:sdtPr>
              <w:id w:val="421225651"/>
              <w:lock w:val="sdtContentLocked"/>
              <w:picture/>
            </w:sdtPr>
            <w:sdtEndPr/>
            <w:sdtContent>
              <w:r w:rsidR="00CF2BF2">
                <w:rPr>
                  <w:noProof/>
                </w:rPr>
                <w:drawing>
                  <wp:inline distT="0" distB="0" distL="0" distR="0" wp14:anchorId="70123AF9" wp14:editId="066D42E5">
                    <wp:extent cx="466914" cy="46691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914" cy="466914"/>
                            </a:xfrm>
                            <a:prstGeom prst="rect">
                              <a:avLst/>
                            </a:prstGeom>
                          </pic:spPr>
                        </pic:pic>
                      </a:graphicData>
                    </a:graphic>
                  </wp:inline>
                </w:drawing>
              </w:r>
            </w:sdtContent>
          </w:sdt>
        </w:p>
        <w:p w14:paraId="0197963B" w14:textId="77777777" w:rsidR="008E3C67" w:rsidRDefault="00CF2BF2">
          <w:pPr>
            <w:jc w:val="center"/>
          </w:pPr>
          <w:r>
            <w:rPr>
              <w:sz w:val="16"/>
              <w:szCs w:val="16"/>
            </w:rPr>
            <w:t>BM: CVĐT.03(1)</w:t>
          </w:r>
        </w:p>
      </w:tc>
      <w:tc>
        <w:tcPr>
          <w:tcW w:w="2801" w:type="dxa"/>
        </w:tcPr>
        <w:p w14:paraId="2F6AFA13" w14:textId="77777777" w:rsidR="008E3C67" w:rsidRDefault="008E3C67"/>
      </w:tc>
      <w:tc>
        <w:tcPr>
          <w:tcW w:w="2801" w:type="dxa"/>
        </w:tcPr>
        <w:p w14:paraId="36087DED" w14:textId="77777777" w:rsidR="008E3C67" w:rsidRDefault="008E3C67"/>
      </w:tc>
      <w:tc>
        <w:tcPr>
          <w:tcW w:w="2801" w:type="dxa"/>
        </w:tcPr>
        <w:p w14:paraId="7ED3B5F6" w14:textId="77777777" w:rsidR="008E3C67" w:rsidRDefault="008E3C67"/>
      </w:tc>
      <w:tc>
        <w:tcPr>
          <w:tcW w:w="2801" w:type="dxa"/>
        </w:tcPr>
        <w:p w14:paraId="1AF8A431" w14:textId="77777777" w:rsidR="008E3C67" w:rsidRDefault="008E3C67"/>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1398E" w14:textId="77777777" w:rsidR="002E0FD4" w:rsidRDefault="002E0FD4">
      <w:r>
        <w:separator/>
      </w:r>
    </w:p>
  </w:footnote>
  <w:footnote w:type="continuationSeparator" w:id="0">
    <w:p w14:paraId="340DFE45" w14:textId="77777777" w:rsidR="002E0FD4" w:rsidRDefault="002E0FD4">
      <w:r>
        <w:continuationSeparator/>
      </w:r>
    </w:p>
  </w:footnote>
  <w:footnote w:id="1">
    <w:p w14:paraId="28ABF5FA" w14:textId="77777777" w:rsidR="00197781" w:rsidRDefault="00197781" w:rsidP="00197781">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14:paraId="680846CB" w14:textId="77777777" w:rsidR="00197781" w:rsidRDefault="00197781" w:rsidP="00197781">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F1E37" w14:textId="77777777" w:rsidR="008E3C67" w:rsidRDefault="008E3C67">
    <w:pPr>
      <w:pStyle w:val="Header"/>
      <w:jc w:val="center"/>
    </w:pPr>
  </w:p>
  <w:p w14:paraId="51271340" w14:textId="77777777" w:rsidR="008E3C67" w:rsidRDefault="008E3C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5D96"/>
    <w:multiLevelType w:val="hybridMultilevel"/>
    <w:tmpl w:val="40DCBF36"/>
    <w:lvl w:ilvl="0" w:tplc="01289266">
      <w:start w:val="1"/>
      <w:numFmt w:val="bullet"/>
      <w:lvlText w:val=""/>
      <w:lvlJc w:val="left"/>
      <w:pPr>
        <w:ind w:left="360" w:hanging="360"/>
      </w:pPr>
      <w:rPr>
        <w:rFonts w:ascii="Wingdings" w:hAnsi="Wingdings" w:hint="default"/>
      </w:rPr>
    </w:lvl>
    <w:lvl w:ilvl="1" w:tplc="DF4A9ED2">
      <w:start w:val="1"/>
      <w:numFmt w:val="bullet"/>
      <w:lvlText w:val="o"/>
      <w:lvlJc w:val="left"/>
      <w:pPr>
        <w:ind w:left="1080" w:hanging="360"/>
      </w:pPr>
      <w:rPr>
        <w:rFonts w:ascii="Courier New" w:hAnsi="Courier New" w:cs="Courier New" w:hint="default"/>
      </w:rPr>
    </w:lvl>
    <w:lvl w:ilvl="2" w:tplc="5A422424">
      <w:start w:val="1"/>
      <w:numFmt w:val="bullet"/>
      <w:lvlText w:val=""/>
      <w:lvlJc w:val="left"/>
      <w:pPr>
        <w:ind w:left="1800" w:hanging="360"/>
      </w:pPr>
      <w:rPr>
        <w:rFonts w:ascii="Wingdings" w:hAnsi="Wingdings" w:hint="default"/>
      </w:rPr>
    </w:lvl>
    <w:lvl w:ilvl="3" w:tplc="002ACDD4">
      <w:start w:val="1"/>
      <w:numFmt w:val="bullet"/>
      <w:lvlText w:val=""/>
      <w:lvlJc w:val="left"/>
      <w:pPr>
        <w:ind w:left="2520" w:hanging="360"/>
      </w:pPr>
      <w:rPr>
        <w:rFonts w:ascii="Symbol" w:hAnsi="Symbol" w:hint="default"/>
      </w:rPr>
    </w:lvl>
    <w:lvl w:ilvl="4" w:tplc="BEECFAB6">
      <w:start w:val="1"/>
      <w:numFmt w:val="bullet"/>
      <w:lvlText w:val="o"/>
      <w:lvlJc w:val="left"/>
      <w:pPr>
        <w:ind w:left="3240" w:hanging="360"/>
      </w:pPr>
      <w:rPr>
        <w:rFonts w:ascii="Courier New" w:hAnsi="Courier New" w:cs="Courier New" w:hint="default"/>
      </w:rPr>
    </w:lvl>
    <w:lvl w:ilvl="5" w:tplc="C78E0EFE">
      <w:start w:val="1"/>
      <w:numFmt w:val="bullet"/>
      <w:lvlText w:val=""/>
      <w:lvlJc w:val="left"/>
      <w:pPr>
        <w:ind w:left="3960" w:hanging="360"/>
      </w:pPr>
      <w:rPr>
        <w:rFonts w:ascii="Wingdings" w:hAnsi="Wingdings" w:hint="default"/>
      </w:rPr>
    </w:lvl>
    <w:lvl w:ilvl="6" w:tplc="63EA9B08">
      <w:start w:val="1"/>
      <w:numFmt w:val="bullet"/>
      <w:lvlText w:val=""/>
      <w:lvlJc w:val="left"/>
      <w:pPr>
        <w:ind w:left="4680" w:hanging="360"/>
      </w:pPr>
      <w:rPr>
        <w:rFonts w:ascii="Symbol" w:hAnsi="Symbol" w:hint="default"/>
      </w:rPr>
    </w:lvl>
    <w:lvl w:ilvl="7" w:tplc="2FD68EEC">
      <w:start w:val="1"/>
      <w:numFmt w:val="bullet"/>
      <w:lvlText w:val="o"/>
      <w:lvlJc w:val="left"/>
      <w:pPr>
        <w:ind w:left="5400" w:hanging="360"/>
      </w:pPr>
      <w:rPr>
        <w:rFonts w:ascii="Courier New" w:hAnsi="Courier New" w:cs="Courier New" w:hint="default"/>
      </w:rPr>
    </w:lvl>
    <w:lvl w:ilvl="8" w:tplc="9CEA42D6">
      <w:start w:val="1"/>
      <w:numFmt w:val="bullet"/>
      <w:lvlText w:val=""/>
      <w:lvlJc w:val="left"/>
      <w:pPr>
        <w:ind w:left="6120" w:hanging="360"/>
      </w:pPr>
      <w:rPr>
        <w:rFonts w:ascii="Wingdings" w:hAnsi="Wingdings" w:hint="default"/>
      </w:rPr>
    </w:lvl>
  </w:abstractNum>
  <w:abstractNum w:abstractNumId="1" w15:restartNumberingAfterBreak="0">
    <w:nsid w:val="40460078"/>
    <w:multiLevelType w:val="hybridMultilevel"/>
    <w:tmpl w:val="E4402E12"/>
    <w:lvl w:ilvl="0" w:tplc="8E2831C0">
      <w:numFmt w:val="bullet"/>
      <w:lvlText w:val=""/>
      <w:lvlJc w:val="left"/>
      <w:pPr>
        <w:ind w:left="555" w:hanging="360"/>
      </w:pPr>
      <w:rPr>
        <w:rFonts w:ascii="Symbol" w:eastAsia="Times New Roman" w:hAnsi="Symbol"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3" w15:restartNumberingAfterBreak="0">
    <w:nsid w:val="6FFF474B"/>
    <w:multiLevelType w:val="hybridMultilevel"/>
    <w:tmpl w:val="9A16B88C"/>
    <w:lvl w:ilvl="0" w:tplc="848C4E22">
      <w:start w:val="1"/>
      <w:numFmt w:val="bullet"/>
      <w:lvlText w:val=""/>
      <w:lvlJc w:val="left"/>
      <w:pPr>
        <w:ind w:left="856" w:hanging="360"/>
      </w:pPr>
      <w:rPr>
        <w:rFonts w:ascii="Symbol" w:hAnsi="Symbol" w:hint="default"/>
      </w:rPr>
    </w:lvl>
    <w:lvl w:ilvl="1" w:tplc="FDF40E0A">
      <w:start w:val="1"/>
      <w:numFmt w:val="bullet"/>
      <w:lvlText w:val="o"/>
      <w:lvlJc w:val="left"/>
      <w:pPr>
        <w:ind w:left="1576" w:hanging="360"/>
      </w:pPr>
      <w:rPr>
        <w:rFonts w:ascii="Courier New" w:hAnsi="Courier New" w:cs="Courier New" w:hint="default"/>
      </w:rPr>
    </w:lvl>
    <w:lvl w:ilvl="2" w:tplc="DE146658">
      <w:start w:val="1"/>
      <w:numFmt w:val="bullet"/>
      <w:lvlText w:val=""/>
      <w:lvlJc w:val="left"/>
      <w:pPr>
        <w:ind w:left="2296" w:hanging="360"/>
      </w:pPr>
      <w:rPr>
        <w:rFonts w:ascii="Wingdings" w:hAnsi="Wingdings" w:hint="default"/>
      </w:rPr>
    </w:lvl>
    <w:lvl w:ilvl="3" w:tplc="DB96C066">
      <w:start w:val="1"/>
      <w:numFmt w:val="bullet"/>
      <w:lvlText w:val=""/>
      <w:lvlJc w:val="left"/>
      <w:pPr>
        <w:ind w:left="3016" w:hanging="360"/>
      </w:pPr>
      <w:rPr>
        <w:rFonts w:ascii="Symbol" w:hAnsi="Symbol" w:hint="default"/>
      </w:rPr>
    </w:lvl>
    <w:lvl w:ilvl="4" w:tplc="A1248F0A">
      <w:start w:val="1"/>
      <w:numFmt w:val="bullet"/>
      <w:lvlText w:val="o"/>
      <w:lvlJc w:val="left"/>
      <w:pPr>
        <w:ind w:left="3736" w:hanging="360"/>
      </w:pPr>
      <w:rPr>
        <w:rFonts w:ascii="Courier New" w:hAnsi="Courier New" w:cs="Courier New" w:hint="default"/>
      </w:rPr>
    </w:lvl>
    <w:lvl w:ilvl="5" w:tplc="F5E2985A">
      <w:start w:val="1"/>
      <w:numFmt w:val="bullet"/>
      <w:lvlText w:val=""/>
      <w:lvlJc w:val="left"/>
      <w:pPr>
        <w:ind w:left="4456" w:hanging="360"/>
      </w:pPr>
      <w:rPr>
        <w:rFonts w:ascii="Wingdings" w:hAnsi="Wingdings" w:hint="default"/>
      </w:rPr>
    </w:lvl>
    <w:lvl w:ilvl="6" w:tplc="212C165C">
      <w:start w:val="1"/>
      <w:numFmt w:val="bullet"/>
      <w:lvlText w:val=""/>
      <w:lvlJc w:val="left"/>
      <w:pPr>
        <w:ind w:left="5176" w:hanging="360"/>
      </w:pPr>
      <w:rPr>
        <w:rFonts w:ascii="Symbol" w:hAnsi="Symbol" w:hint="default"/>
      </w:rPr>
    </w:lvl>
    <w:lvl w:ilvl="7" w:tplc="49A22CFA">
      <w:start w:val="1"/>
      <w:numFmt w:val="bullet"/>
      <w:lvlText w:val="o"/>
      <w:lvlJc w:val="left"/>
      <w:pPr>
        <w:ind w:left="5896" w:hanging="360"/>
      </w:pPr>
      <w:rPr>
        <w:rFonts w:ascii="Courier New" w:hAnsi="Courier New" w:cs="Courier New" w:hint="default"/>
      </w:rPr>
    </w:lvl>
    <w:lvl w:ilvl="8" w:tplc="E258FDDE">
      <w:start w:val="1"/>
      <w:numFmt w:val="bullet"/>
      <w:lvlText w:val=""/>
      <w:lvlJc w:val="left"/>
      <w:pPr>
        <w:ind w:left="661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67"/>
    <w:rsid w:val="00197781"/>
    <w:rsid w:val="00253F35"/>
    <w:rsid w:val="00296534"/>
    <w:rsid w:val="002C4867"/>
    <w:rsid w:val="002D5832"/>
    <w:rsid w:val="002E0FD4"/>
    <w:rsid w:val="002F5583"/>
    <w:rsid w:val="003A2FED"/>
    <w:rsid w:val="00423602"/>
    <w:rsid w:val="004B2E79"/>
    <w:rsid w:val="00621CF5"/>
    <w:rsid w:val="00650EC4"/>
    <w:rsid w:val="00680219"/>
    <w:rsid w:val="006E4D56"/>
    <w:rsid w:val="0071747B"/>
    <w:rsid w:val="007B5DCD"/>
    <w:rsid w:val="007D0C72"/>
    <w:rsid w:val="008023E0"/>
    <w:rsid w:val="008E3C67"/>
    <w:rsid w:val="00967C76"/>
    <w:rsid w:val="00A90B45"/>
    <w:rsid w:val="00AC5F24"/>
    <w:rsid w:val="00B54114"/>
    <w:rsid w:val="00C508AC"/>
    <w:rsid w:val="00CF2BF2"/>
    <w:rsid w:val="00D05DC5"/>
    <w:rsid w:val="00D6284D"/>
    <w:rsid w:val="00E20570"/>
    <w:rsid w:val="00EF415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46E80"/>
  <w15:docId w15:val="{21698D20-5A6A-406F-A038-ED47DCDC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List Paragraph 1"/>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2D3FC0F5-1BC1-4BEE-A3DA-98F5CB98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36</cp:revision>
  <cp:lastPrinted>2024-08-30T01:36:00Z</cp:lastPrinted>
  <dcterms:created xsi:type="dcterms:W3CDTF">2022-10-08T04:38:00Z</dcterms:created>
  <dcterms:modified xsi:type="dcterms:W3CDTF">2024-08-30T01:37:00Z</dcterms:modified>
</cp:coreProperties>
</file>