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A20405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0405">
        <w:rPr>
          <w:bCs/>
          <w:sz w:val="26"/>
          <w:szCs w:val="26"/>
        </w:rPr>
        <w:t>……….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A4647" w:rsidRPr="00884132" w:rsidTr="000A4647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sz w:val="25"/>
                <w:szCs w:val="25"/>
              </w:rPr>
            </w:pPr>
            <w:bookmarkStart w:id="0" w:name="_GoBack" w:colFirst="0" w:colLast="4"/>
            <w:r w:rsidRPr="00AA191B">
              <w:rPr>
                <w:sz w:val="25"/>
                <w:szCs w:val="25"/>
              </w:rPr>
              <w:t>1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Màn hình LED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33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Thời gian sử dụng: Ngày 25/4/2026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33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Cung cấp 04 màn hình LED P3, mỗi màn hình có kích thước 3m x 2m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M2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24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2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vi-VN"/>
              </w:rPr>
              <w:t>Standee điện tử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Độ phân giải: Full HD (1920x1080) hoặc 4K (3840x2160).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Kích thước màn hình: Tối thiểu 65 inch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Màn hình LCD, có khả năng chống chói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Độ sáng tối thiểu 500 nits (lumen/m2)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Cổng kết nối: HDMI, VGA, USB và Wi-fi hoặc Ethernet.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Thời gian</w:t>
            </w:r>
            <w:r w:rsidRPr="00AA191B">
              <w:rPr>
                <w:sz w:val="25"/>
                <w:szCs w:val="25"/>
                <w:lang w:val="vi-VN"/>
              </w:rPr>
              <w:t xml:space="preserve"> sử dụng: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Ngày </w:t>
            </w:r>
            <w:r w:rsidRPr="00AA191B">
              <w:rPr>
                <w:sz w:val="25"/>
                <w:szCs w:val="25"/>
              </w:rPr>
              <w:t>20/4/2026: 01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Ngày 21/4/2026: 01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Ngày 22/4/2026: 01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Ngày 23/4/2026: 01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Ngày 24/4/2026: 04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Ngày 25</w:t>
            </w:r>
            <w:r w:rsidRPr="00AA191B">
              <w:rPr>
                <w:sz w:val="25"/>
                <w:szCs w:val="25"/>
                <w:lang w:val="de-DE"/>
              </w:rPr>
              <w:t>/4/2026: 07 cái</w:t>
            </w:r>
          </w:p>
        </w:tc>
        <w:tc>
          <w:tcPr>
            <w:tcW w:w="1054" w:type="dxa"/>
            <w:vAlign w:val="center"/>
          </w:tcPr>
          <w:p w:rsidR="003A2810" w:rsidRPr="00AA191B" w:rsidDel="00473EE5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vi-VN"/>
              </w:rPr>
              <w:t>Cái</w:t>
            </w:r>
          </w:p>
        </w:tc>
        <w:tc>
          <w:tcPr>
            <w:tcW w:w="1269" w:type="dxa"/>
            <w:vAlign w:val="center"/>
          </w:tcPr>
          <w:p w:rsidR="003A2810" w:rsidRPr="00AA191B" w:rsidDel="00473EE5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15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vi-VN"/>
              </w:rPr>
              <w:t>Hệ thống phiên dịch</w:t>
            </w:r>
            <w:r w:rsidRPr="00AA191B">
              <w:rPr>
                <w:sz w:val="25"/>
                <w:szCs w:val="25"/>
              </w:rPr>
              <w:t xml:space="preserve"> cho Đại Giảng đường và Phòng Hội đồng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 xml:space="preserve">Thời </w:t>
            </w:r>
            <w:r w:rsidRPr="00AA191B">
              <w:rPr>
                <w:sz w:val="25"/>
                <w:szCs w:val="25"/>
                <w:lang w:val="de-DE"/>
              </w:rPr>
              <w:t>gian sử dụng: Ngày 25/4/2026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Yêu c</w:t>
            </w:r>
            <w:r w:rsidRPr="00AA191B">
              <w:rPr>
                <w:sz w:val="25"/>
                <w:szCs w:val="25"/>
              </w:rPr>
              <w:t>ầu kỹ thuật: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02 cabin phiên dịch cách âm, kính quan sát rõ; trong đó mỗi cabin phiên dịch gồm  01 màn hình, 01 micro phiên dịch, 01 tai nghe chức năng giám sát, 01 bàn điều khiển phiên dịch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Tai nghe hoạt động bằng công nghệ sóng FM chuyên dụng cho phiên dịch và pin sử dụng được khoảng 8 giờ. (Tai nghe cho Đại giảng đường 400 bộ và Phòng Hội đồng là 60 bộ)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Phạm vi phủ sóng: Bao phủ toàn bộ hội trường, không có điểm chết tín hiệu.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</w:rPr>
              <w:t>Chất lượng âm thanh: Âm thanh rõ, không méo; độ trễ thấp; tai nghe có nút điều chỉnh âm lượng.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 xml:space="preserve">Bố trí 01 kỹ thuật viên/hội trường, trực xuyên suốt thời </w:t>
            </w:r>
            <w:r w:rsidRPr="00AA191B">
              <w:rPr>
                <w:sz w:val="25"/>
                <w:szCs w:val="25"/>
                <w:lang w:val="de-DE"/>
              </w:rPr>
              <w:t>gian</w:t>
            </w:r>
            <w:r w:rsidRPr="00AA191B">
              <w:rPr>
                <w:sz w:val="25"/>
                <w:szCs w:val="25"/>
              </w:rPr>
              <w:t xml:space="preserve"> sử dụng.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vi-VN"/>
              </w:rPr>
              <w:t>Bộ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vi-VN"/>
              </w:rPr>
              <w:t>460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</w:rPr>
            </w:pPr>
            <w:r w:rsidRPr="00AA191B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vi-VN"/>
              </w:rPr>
              <w:t>Poster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jc w:val="both"/>
              <w:rPr>
                <w:bCs/>
                <w:sz w:val="25"/>
                <w:szCs w:val="25"/>
                <w:lang w:val="vi-VN"/>
              </w:rPr>
            </w:pPr>
            <w:r w:rsidRPr="00AA191B">
              <w:rPr>
                <w:bCs/>
                <w:sz w:val="25"/>
                <w:szCs w:val="25"/>
                <w:lang w:val="vi-VN"/>
              </w:rPr>
              <w:t>Giá trưng bày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vi-VN"/>
              </w:rPr>
              <w:t xml:space="preserve">Loại giá </w:t>
            </w:r>
            <w:r w:rsidRPr="00AA191B">
              <w:rPr>
                <w:sz w:val="25"/>
                <w:szCs w:val="25"/>
                <w:lang w:val="de-DE"/>
              </w:rPr>
              <w:t>treo: Khung hai mặt, dạng module ghép nối.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Kích thước tiêu chuẩn: Chiều cao 180cm x chiều rộng 90cm, Độ dày khung: 2cm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Vật liệu: Khung nhôm định hình hoặc thép sơn tĩnh điện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de-DE"/>
              </w:rPr>
              <w:t>Bề mặt treo</w:t>
            </w:r>
            <w:r w:rsidRPr="00AA191B">
              <w:rPr>
                <w:sz w:val="25"/>
                <w:szCs w:val="25"/>
                <w:lang w:val="vi-VN"/>
              </w:rPr>
              <w:t>: Tấm nhựa PVC, formex hoặc ván MDF phủ laminate</w:t>
            </w:r>
          </w:p>
          <w:p w:rsidR="003A2810" w:rsidRPr="00AA191B" w:rsidRDefault="003A2810" w:rsidP="003A2810">
            <w:pPr>
              <w:widowControl w:val="0"/>
              <w:spacing w:before="40" w:after="40" w:line="264" w:lineRule="auto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vi-VN"/>
              </w:rPr>
              <w:t>Cách treo poster: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de-DE"/>
              </w:rPr>
              <w:t>Dán</w:t>
            </w:r>
            <w:r w:rsidRPr="00AA191B">
              <w:rPr>
                <w:sz w:val="25"/>
                <w:szCs w:val="25"/>
                <w:lang w:val="vi-VN"/>
              </w:rPr>
              <w:t xml:space="preserve"> trực tiếp bằng băng </w:t>
            </w:r>
            <w:r w:rsidRPr="00AA191B">
              <w:rPr>
                <w:sz w:val="25"/>
                <w:szCs w:val="25"/>
                <w:lang w:val="de-DE"/>
              </w:rPr>
              <w:t>keo</w:t>
            </w:r>
            <w:r w:rsidRPr="00AA191B">
              <w:rPr>
                <w:sz w:val="25"/>
                <w:szCs w:val="25"/>
                <w:lang w:val="vi-VN"/>
              </w:rPr>
              <w:t xml:space="preserve"> 2 mặt </w:t>
            </w:r>
          </w:p>
          <w:p w:rsidR="003A2810" w:rsidRPr="00AA191B" w:rsidRDefault="003A2810" w:rsidP="003A2810">
            <w:pPr>
              <w:widowControl w:val="0"/>
              <w:spacing w:before="40" w:after="40" w:line="264" w:lineRule="auto"/>
              <w:jc w:val="both"/>
              <w:rPr>
                <w:bCs/>
                <w:sz w:val="25"/>
                <w:szCs w:val="25"/>
                <w:lang w:val="vi-VN"/>
              </w:rPr>
            </w:pPr>
            <w:r w:rsidRPr="00AA191B">
              <w:rPr>
                <w:bCs/>
                <w:sz w:val="25"/>
                <w:szCs w:val="25"/>
                <w:lang w:val="vi-VN"/>
              </w:rPr>
              <w:t>In poster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lastRenderedPageBreak/>
              <w:t>Kích</w:t>
            </w:r>
            <w:r w:rsidRPr="00AA191B">
              <w:rPr>
                <w:sz w:val="25"/>
                <w:szCs w:val="25"/>
                <w:lang w:val="vi-VN"/>
              </w:rPr>
              <w:t xml:space="preserve"> </w:t>
            </w:r>
            <w:r w:rsidRPr="00AA191B">
              <w:rPr>
                <w:sz w:val="25"/>
                <w:szCs w:val="25"/>
                <w:lang w:val="de-DE"/>
              </w:rPr>
              <w:t>thước tiêu chuẩn: Chiều cao 110cm x chiều rộng 80cm, Độ dày khung: 2cm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Chất</w:t>
            </w:r>
            <w:r w:rsidRPr="00AA191B">
              <w:rPr>
                <w:sz w:val="25"/>
                <w:szCs w:val="25"/>
              </w:rPr>
              <w:t xml:space="preserve"> </w:t>
            </w:r>
            <w:r w:rsidRPr="00AA191B">
              <w:rPr>
                <w:sz w:val="25"/>
                <w:szCs w:val="25"/>
                <w:lang w:val="vi-VN"/>
              </w:rPr>
              <w:t>liệu</w:t>
            </w:r>
            <w:r w:rsidRPr="00AA191B">
              <w:rPr>
                <w:sz w:val="25"/>
                <w:szCs w:val="25"/>
              </w:rPr>
              <w:t>: In PP có keo cán mờ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vi-VN"/>
              </w:rPr>
              <w:lastRenderedPageBreak/>
              <w:t>Bộ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vi-VN"/>
              </w:rPr>
              <w:t>30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</w:rPr>
            </w:pPr>
            <w:r w:rsidRPr="00AA191B">
              <w:rPr>
                <w:bCs/>
                <w:sz w:val="25"/>
                <w:szCs w:val="25"/>
              </w:rPr>
              <w:lastRenderedPageBreak/>
              <w:t>5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</w:rPr>
              <w:t>Khu vực triển lãm cho nhà đồng hành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Thời gian: Ngày 24-25/4/2026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Mỗi quầy được bố trí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01 </w:t>
            </w:r>
            <w:r w:rsidRPr="00AA191B">
              <w:rPr>
                <w:sz w:val="25"/>
                <w:szCs w:val="25"/>
              </w:rPr>
              <w:t>bàn gỗ chân sắt có kích thước 1,2m x 0,6m x 0,8m và 02 ghế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Khăn trải bàn màu trắng, viền chân xanh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b/>
                <w:bCs/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Cun</w:t>
            </w:r>
            <w:r w:rsidRPr="00AA191B">
              <w:rPr>
                <w:sz w:val="25"/>
                <w:szCs w:val="25"/>
                <w:lang w:val="de-DE"/>
              </w:rPr>
              <w:t>g cấp ổ điện đến từng quầy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vi-VN"/>
              </w:rPr>
            </w:pPr>
            <w:r w:rsidRPr="00AA191B">
              <w:rPr>
                <w:bCs/>
                <w:sz w:val="25"/>
                <w:szCs w:val="25"/>
              </w:rPr>
              <w:t>Quầy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vi-VN"/>
              </w:rPr>
            </w:pPr>
            <w:r w:rsidRPr="00AA191B">
              <w:rPr>
                <w:bCs/>
                <w:sz w:val="25"/>
                <w:szCs w:val="25"/>
              </w:rPr>
              <w:t>36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</w:rPr>
            </w:pPr>
            <w:r w:rsidRPr="00AA191B">
              <w:rPr>
                <w:bCs/>
                <w:sz w:val="25"/>
                <w:szCs w:val="25"/>
              </w:rPr>
              <w:t>6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Kỷ niệm chương dành cho nhà tài trợ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Kích thước: 200mm x 140mm.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Chất liệu: Pha lê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Thiết kế: Được thực hiện theo yêu cầu và nội dung được Bệnh viện duyệt, có thể bao gồm logo, thông tin sự kiện hoặc hình ảnh.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In ấn: Hình ảnh và nội dung được in trên bề mặt pha lê.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  <w:lang w:val="de-DE"/>
              </w:rPr>
              <w:t>Hình ảnh</w:t>
            </w:r>
            <w:r w:rsidRPr="00AA191B">
              <w:rPr>
                <w:sz w:val="25"/>
                <w:szCs w:val="25"/>
                <w:lang w:val="vi-VN"/>
              </w:rPr>
              <w:t xml:space="preserve"> minh họa:</w:t>
            </w:r>
          </w:p>
          <w:p w:rsidR="003A2810" w:rsidRPr="00AA191B" w:rsidRDefault="003A2810" w:rsidP="003A2810">
            <w:pPr>
              <w:pStyle w:val="ListParagraph"/>
              <w:widowControl w:val="0"/>
              <w:tabs>
                <w:tab w:val="left" w:pos="658"/>
              </w:tabs>
              <w:spacing w:before="40" w:after="40" w:line="264" w:lineRule="auto"/>
              <w:ind w:left="334" w:right="54"/>
              <w:contextualSpacing w:val="0"/>
              <w:jc w:val="both"/>
              <w:rPr>
                <w:b/>
                <w:bCs/>
                <w:sz w:val="25"/>
                <w:szCs w:val="25"/>
              </w:rPr>
            </w:pPr>
            <w:r w:rsidRPr="00AA191B">
              <w:rPr>
                <w:noProof/>
                <w:sz w:val="25"/>
                <w:szCs w:val="25"/>
              </w:rPr>
              <w:drawing>
                <wp:inline distT="0" distB="0" distL="0" distR="0" wp14:anchorId="62FFA6DE" wp14:editId="04B16E4A">
                  <wp:extent cx="815340" cy="1235693"/>
                  <wp:effectExtent l="0" t="0" r="3810" b="3175"/>
                  <wp:docPr id="1707225163" name="Picture 1707225163" descr="A grey and blue certific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225163" name="Picture 1707225163" descr="A grey and blue certificate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382" cy="126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Cái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40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7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AA191B">
              <w:rPr>
                <w:sz w:val="25"/>
                <w:szCs w:val="25"/>
                <w:lang w:val="de-DE"/>
              </w:rPr>
              <w:t>Brochure chương trình Hội nghị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Thiết kế và in ấn theo nội dung do Bệnh viện duyệt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Quy cách – Kích thước</w:t>
            </w:r>
            <w:r w:rsidRPr="00AA191B">
              <w:rPr>
                <w:sz w:val="25"/>
                <w:szCs w:val="25"/>
                <w:lang w:val="vi-VN"/>
              </w:rPr>
              <w:t>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vi-VN"/>
              </w:rPr>
              <w:t>Kích</w:t>
            </w:r>
            <w:r w:rsidRPr="00AA191B">
              <w:rPr>
                <w:sz w:val="25"/>
                <w:szCs w:val="25"/>
                <w:lang w:val="de-DE"/>
              </w:rPr>
              <w:t xml:space="preserve"> </w:t>
            </w:r>
            <w:r w:rsidRPr="00AA191B">
              <w:rPr>
                <w:sz w:val="25"/>
                <w:szCs w:val="25"/>
              </w:rPr>
              <w:t>thước: A5 (14,8 cm × 21 cm)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Số trang: 48 trang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lastRenderedPageBreak/>
              <w:t xml:space="preserve">Đóng quyển: Đóng gáy dán keo nhiệt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Thành phẩm</w:t>
            </w:r>
            <w:r w:rsidRPr="00AA191B">
              <w:rPr>
                <w:sz w:val="25"/>
                <w:szCs w:val="25"/>
                <w:lang w:val="vi-VN"/>
              </w:rPr>
              <w:t xml:space="preserve">: </w:t>
            </w:r>
            <w:r w:rsidRPr="00AA191B">
              <w:rPr>
                <w:sz w:val="25"/>
                <w:szCs w:val="25"/>
                <w:lang w:val="de-DE"/>
              </w:rPr>
              <w:t>Sắc nét</w:t>
            </w:r>
            <w:r w:rsidRPr="00AA191B">
              <w:rPr>
                <w:sz w:val="25"/>
                <w:szCs w:val="25"/>
                <w:lang w:val="vi-VN"/>
              </w:rPr>
              <w:t>,</w:t>
            </w:r>
            <w:r w:rsidRPr="00AA191B">
              <w:rPr>
                <w:sz w:val="25"/>
                <w:szCs w:val="25"/>
                <w:lang w:val="de-DE"/>
              </w:rPr>
              <w:t xml:space="preserve"> không nhăn</w:t>
            </w:r>
            <w:r w:rsidRPr="00AA191B">
              <w:rPr>
                <w:sz w:val="25"/>
                <w:szCs w:val="25"/>
                <w:lang w:val="vi-VN"/>
              </w:rPr>
              <w:t xml:space="preserve">, </w:t>
            </w:r>
            <w:r w:rsidRPr="00AA191B">
              <w:rPr>
                <w:sz w:val="25"/>
                <w:szCs w:val="25"/>
                <w:lang w:val="de-DE"/>
              </w:rPr>
              <w:t>không lem mực.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Chất liệu giấy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Giấy </w:t>
            </w:r>
            <w:r w:rsidRPr="00AA191B">
              <w:rPr>
                <w:sz w:val="25"/>
                <w:szCs w:val="25"/>
                <w:lang w:val="vi-VN"/>
              </w:rPr>
              <w:t xml:space="preserve">bìa: </w:t>
            </w:r>
            <w:r w:rsidRPr="00AA191B">
              <w:rPr>
                <w:sz w:val="25"/>
                <w:szCs w:val="25"/>
              </w:rPr>
              <w:t xml:space="preserve">Couche 300 gsm, in 04 màu, cán màng mờ 2 mặt, chống xước, chống thấm nhẹ,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Giấy ruột: Couche 210–250 gsm, in màu 02 mặt,</w:t>
            </w:r>
            <w:r w:rsidRPr="00AA191B">
              <w:rPr>
                <w:sz w:val="25"/>
                <w:szCs w:val="25"/>
                <w:lang w:val="vi-VN"/>
              </w:rPr>
              <w:t xml:space="preserve"> m</w:t>
            </w:r>
            <w:r w:rsidRPr="00AA191B">
              <w:rPr>
                <w:sz w:val="25"/>
                <w:szCs w:val="25"/>
              </w:rPr>
              <w:t>ực in offset chất lượng cao, không phai màu, thể hiện đúng màu nhận diện.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Yêu cầu in ấn: In offset, chuẩn hệ màu CMYK, đảm bảo hiệu chỉnh màu đúng với file đã duyệt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Thành phẩm không được lem mực, lệch trang, răng cưa, sai màu, lệch chồng màu.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Yêu cầu kỹ thuật – chất lượng: Hình ảnh sắc nét, độ phân giải từ 150 dpi đến 300 dpi. 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Cuốn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500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8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AA191B">
              <w:rPr>
                <w:sz w:val="25"/>
                <w:szCs w:val="25"/>
              </w:rPr>
              <w:t>Thẻ đeo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In ấn theo nội dung của Bệnh viện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Thẻ đeo: Bồi 04 lớp, kích thước 9,5cm x 12,5cm; giấy Econo 1.200gsm, in màu 02 mặt, đục 02 lỗ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Dây đeo: Dài 90cm; rộng 2cm, chất liệu satin; in chuyển nhiệt 01 mặt theo nội dung của Bệnh viện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Móc khóa: 02 móc xoay giọt nước chất liệu kim loại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Bộ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600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9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Bìa và giấy chứng nhận cho chủ tọa,</w:t>
            </w:r>
            <w:r w:rsidRPr="00AA191B">
              <w:rPr>
                <w:sz w:val="25"/>
                <w:szCs w:val="25"/>
                <w:lang w:val="vi-VN"/>
              </w:rPr>
              <w:t xml:space="preserve"> </w:t>
            </w:r>
            <w:r w:rsidRPr="00AA191B">
              <w:rPr>
                <w:sz w:val="25"/>
                <w:szCs w:val="25"/>
                <w:lang w:val="de-DE"/>
              </w:rPr>
              <w:t>báo cáo viên</w:t>
            </w:r>
            <w:r w:rsidRPr="00AA191B">
              <w:rPr>
                <w:sz w:val="25"/>
                <w:szCs w:val="25"/>
                <w:lang w:val="vi-VN"/>
              </w:rPr>
              <w:t xml:space="preserve">, </w:t>
            </w:r>
            <w:r w:rsidRPr="00AA191B">
              <w:rPr>
                <w:sz w:val="25"/>
                <w:szCs w:val="25"/>
                <w:lang w:val="de-DE"/>
              </w:rPr>
              <w:t>nhà đồng hành</w:t>
            </w:r>
            <w:r w:rsidRPr="00AA191B">
              <w:rPr>
                <w:sz w:val="25"/>
                <w:szCs w:val="25"/>
                <w:lang w:val="vi-VN"/>
              </w:rPr>
              <w:t xml:space="preserve"> </w:t>
            </w:r>
            <w:r w:rsidRPr="00AA191B">
              <w:rPr>
                <w:sz w:val="25"/>
                <w:szCs w:val="25"/>
              </w:rPr>
              <w:t>và trao giải thưởng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Bìa có ke 8 góc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vi-VN"/>
              </w:rPr>
              <w:t xml:space="preserve">Kích </w:t>
            </w:r>
            <w:r w:rsidRPr="00AA191B">
              <w:rPr>
                <w:sz w:val="25"/>
                <w:szCs w:val="25"/>
              </w:rPr>
              <w:t>thước: Khổ đứng, kích thước 31 cm x 44.5 cm.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Chất liệu: Bên ngoài dán decal, bên trong giấy cao cấp.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Màu sắc: Xanh dương.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</w:rPr>
              <w:t>Thời</w:t>
            </w:r>
            <w:r w:rsidRPr="00AA191B">
              <w:rPr>
                <w:sz w:val="25"/>
                <w:szCs w:val="25"/>
                <w:lang w:val="vi-VN"/>
              </w:rPr>
              <w:t xml:space="preserve"> </w:t>
            </w:r>
            <w:r w:rsidRPr="00AA191B">
              <w:rPr>
                <w:sz w:val="25"/>
                <w:szCs w:val="25"/>
              </w:rPr>
              <w:t>gian</w:t>
            </w:r>
            <w:r w:rsidRPr="00AA191B">
              <w:rPr>
                <w:sz w:val="25"/>
                <w:szCs w:val="25"/>
                <w:lang w:val="vi-VN"/>
              </w:rPr>
              <w:t xml:space="preserve"> hoàn thành: Trong vòng 05 ngày kể từ ngày </w:t>
            </w:r>
            <w:r w:rsidRPr="00AA191B">
              <w:rPr>
                <w:sz w:val="25"/>
                <w:szCs w:val="25"/>
                <w:lang w:val="vi-VN"/>
              </w:rPr>
              <w:lastRenderedPageBreak/>
              <w:t>mẫu đã được duyệt.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Giấy</w:t>
            </w:r>
            <w:r w:rsidRPr="00AA191B">
              <w:rPr>
                <w:sz w:val="25"/>
                <w:szCs w:val="25"/>
              </w:rPr>
              <w:t xml:space="preserve"> </w:t>
            </w:r>
            <w:r w:rsidRPr="00AA191B">
              <w:rPr>
                <w:sz w:val="25"/>
                <w:szCs w:val="25"/>
                <w:lang w:val="de-DE"/>
              </w:rPr>
              <w:t>chứng</w:t>
            </w:r>
            <w:r w:rsidRPr="00AA191B">
              <w:rPr>
                <w:sz w:val="25"/>
                <w:szCs w:val="25"/>
              </w:rPr>
              <w:t xml:space="preserve"> nhận: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Kích</w:t>
            </w:r>
            <w:r w:rsidRPr="00AA191B">
              <w:rPr>
                <w:sz w:val="25"/>
                <w:szCs w:val="25"/>
                <w:lang w:val="vi-VN"/>
              </w:rPr>
              <w:t xml:space="preserve"> thước</w:t>
            </w:r>
            <w:r w:rsidRPr="00AA191B">
              <w:rPr>
                <w:sz w:val="25"/>
                <w:szCs w:val="25"/>
              </w:rPr>
              <w:t>: 21cm x 29,7cm.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In: 04 màu., giấy Conqueror 300gsm, in tên theo danh sách đã được cung cấp.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</w:rPr>
              <w:t>Thời gian in: In nhanh trong vòng 24 giờ.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Bộ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180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10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Quầy đăng ký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tabs>
                <w:tab w:val="left" w:pos="248"/>
              </w:tabs>
              <w:spacing w:before="40" w:after="40" w:line="264" w:lineRule="auto"/>
              <w:ind w:left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Mỗi quầy gồm: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 xml:space="preserve">Bàn gỗ </w:t>
            </w:r>
            <w:r w:rsidRPr="00AA191B">
              <w:rPr>
                <w:sz w:val="25"/>
                <w:szCs w:val="25"/>
                <w:lang w:val="vi-VN"/>
              </w:rPr>
              <w:t>chân</w:t>
            </w:r>
            <w:r w:rsidRPr="00AA191B">
              <w:rPr>
                <w:sz w:val="25"/>
                <w:szCs w:val="25"/>
              </w:rPr>
              <w:t xml:space="preserve"> sắt: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Số lượng: 6 cái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Kích thước: 1,2m (dài) x 0,6m (rộng) x 0,8m (cao)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AA191B">
              <w:rPr>
                <w:sz w:val="25"/>
                <w:szCs w:val="25"/>
              </w:rPr>
              <w:t>Phủ kh</w:t>
            </w:r>
            <w:r w:rsidRPr="00AA191B">
              <w:rPr>
                <w:sz w:val="25"/>
                <w:szCs w:val="25"/>
                <w:lang w:val="vi-VN"/>
              </w:rPr>
              <w:t>ăn trải bàn màu trắng, có viền chân xanh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Ghế: 12 cái, phủ khăn trắng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B</w:t>
            </w:r>
            <w:r w:rsidRPr="00AA191B">
              <w:rPr>
                <w:sz w:val="25"/>
                <w:szCs w:val="25"/>
                <w:lang w:val="vi-VN"/>
              </w:rPr>
              <w:t>ac</w:t>
            </w:r>
            <w:r w:rsidRPr="00AA191B">
              <w:rPr>
                <w:sz w:val="25"/>
                <w:szCs w:val="25"/>
              </w:rPr>
              <w:t>kdrop quầy: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Kích thước: dài 1,2m x rộng 0,8m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Chất liệu:</w:t>
            </w:r>
            <w:r w:rsidRPr="00AA191B">
              <w:rPr>
                <w:sz w:val="25"/>
                <w:szCs w:val="25"/>
                <w:lang w:val="vi-VN"/>
              </w:rPr>
              <w:t xml:space="preserve"> Form 10mm dán PP, cán màng mờ, hình in sắc nét, rõ ràng, không bị nhòe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Quầy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4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0A4647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11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Phòng ở cho Chủ tọa/ Báo cáo viên 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Tiêu chuẩn khách sạn 5*, cách Đại học Y Dược Thành phố Hồ Chí Minh trong vòng bán kính 3km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Địa điểm: Tại nơi tổ chức Hội nghị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Loại phòng: Phòng đơn tiêu chuẩn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Diện tích phòng: Tối thiểu 32m2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Tiện nghi: Hệ thống điều hòa nhiệt độ, truy cập internet tốc độ cao, TV màu, các trang thiết bị đầy đủ, bữa sáng buffet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Thời gian nhận phòng: Dự kiến ngày 23/4/2026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Thời gian trả phòng: Dự kiến ngày 26/4/2026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Đêm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30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lastRenderedPageBreak/>
              <w:t>12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Tiệc nhẹ (tea-break)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Thực</w:t>
            </w:r>
            <w:r w:rsidRPr="00AA191B">
              <w:rPr>
                <w:sz w:val="25"/>
                <w:szCs w:val="25"/>
                <w:lang w:val="de-DE"/>
              </w:rPr>
              <w:t xml:space="preserve"> đơn: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Trái</w:t>
            </w:r>
            <w:r w:rsidRPr="00AA191B">
              <w:rPr>
                <w:sz w:val="25"/>
                <w:szCs w:val="25"/>
                <w:lang w:val="de-DE"/>
              </w:rPr>
              <w:t xml:space="preserve"> cây: Tươi, theo mùa, không dập nát, tối thiểu </w:t>
            </w:r>
            <w:r w:rsidRPr="00AA191B">
              <w:rPr>
                <w:sz w:val="25"/>
                <w:szCs w:val="25"/>
              </w:rPr>
              <w:t>03 loại (dưa hấu, quýt, thanh long, dưa lưới, mận, táo, bưởi, xoài, chanh dây…)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Bánh: Tối th</w:t>
            </w:r>
            <w:r w:rsidRPr="00AA191B">
              <w:rPr>
                <w:sz w:val="25"/>
                <w:szCs w:val="25"/>
                <w:lang w:val="de-DE"/>
              </w:rPr>
              <w:t>iểu 03 loại bánh, trong đó tối thiểu có 01 loại bánh mặn và 01 loại bánh ngọt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Nước: </w:t>
            </w:r>
            <w:r w:rsidRPr="00AA191B">
              <w:rPr>
                <w:sz w:val="25"/>
                <w:szCs w:val="25"/>
              </w:rPr>
              <w:t>Tối</w:t>
            </w:r>
            <w:r w:rsidRPr="00AA191B">
              <w:rPr>
                <w:sz w:val="25"/>
                <w:szCs w:val="25"/>
                <w:lang w:val="de-DE"/>
              </w:rPr>
              <w:t xml:space="preserve"> thiểu 04 loại (trà, cà phê đen, sữa, nước lọc)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Trang trí</w:t>
            </w:r>
            <w:r w:rsidRPr="00AA191B">
              <w:rPr>
                <w:spacing w:val="-2"/>
                <w:sz w:val="25"/>
                <w:szCs w:val="25"/>
                <w:lang w:val="pl-PL"/>
              </w:rPr>
              <w:t xml:space="preserve">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Có hoa tươi trên bàn đặt thức ăn và bàn tiệc đứng.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Bàn tiệc đứng được phủ vải và buộc nơ phần chân bàn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Cung cấp tối thiểu 02 bàn tiệc đứng/50 phần (khách)/ khu vực và số lượng cụ thể theo mỗi lần đặt hàng.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Hoàn thành công tác chuẩn bị (sắp đặt bàn, ghế, dụng cụ…) và trình bày (nếu có) theo yêu</w:t>
            </w:r>
            <w:r w:rsidRPr="00AA191B">
              <w:rPr>
                <w:sz w:val="25"/>
                <w:szCs w:val="25"/>
                <w:lang w:val="de-DE"/>
              </w:rPr>
              <w:t xml:space="preserve"> cầu của Bệnh viên đối với mỗi đơn đặt hàng, nhưng không trễ hơn 90 phút trước giờ mở tiệc.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Công tác vệ sinh: Dọn dẹp sạch sẽ và trả lại mặt bằng ban đầu sau mỗi buổi tiệc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Phục vụ: Bố trí tối thiểu 01 nhân viên phục vụ/01 hội trường (Tối đa 6 hội trường tổ chức cùng một thời điểm).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Thời gian phục vụ: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Sáng: 09h00 – 10h30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Chiều: 14h00 – 15h30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Phần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1.</w:t>
            </w:r>
            <w:r w:rsidRPr="00AA191B">
              <w:rPr>
                <w:sz w:val="25"/>
                <w:szCs w:val="25"/>
                <w:lang w:val="vi-VN"/>
              </w:rPr>
              <w:t>3</w:t>
            </w:r>
            <w:r w:rsidRPr="00AA191B">
              <w:rPr>
                <w:sz w:val="25"/>
                <w:szCs w:val="25"/>
                <w:lang w:val="de-DE"/>
              </w:rPr>
              <w:t>00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13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Tiệc chiêu đãi tối ngày 25/4/2026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Địa điểm: Tại nơi lưu trú của chủ tọa, báo cáo viên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Phòng tiệc có diện tích tối thiểu 400m2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lastRenderedPageBreak/>
              <w:t>Sân khấu có kích thước tối thiểu chiều dài 7,2m, chiều rộng 3,6m và chiều cao 0,6m và có bố trí bục phát biểu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Màn LED P3,  kích thước 7m x 3,5m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Hệ thống âm thanh, ánh sáng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01 </w:t>
            </w:r>
            <w:r w:rsidRPr="00AA191B">
              <w:rPr>
                <w:sz w:val="25"/>
                <w:szCs w:val="25"/>
              </w:rPr>
              <w:t xml:space="preserve">Mixer DIGITAL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 xml:space="preserve">06 Loa ARRAY 04 Loa Sub ARRAY + 02 Loa Monitor 02 Micro không dây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01 màn</w:t>
            </w:r>
            <w:r w:rsidRPr="00AA191B">
              <w:rPr>
                <w:sz w:val="25"/>
                <w:szCs w:val="25"/>
                <w:lang w:val="de-DE"/>
              </w:rPr>
              <w:t xml:space="preserve"> hình LCD 55 inches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Văn nghệ trong 90 phút, </w:t>
            </w:r>
            <w:r w:rsidRPr="00AA191B">
              <w:rPr>
                <w:sz w:val="25"/>
                <w:szCs w:val="25"/>
              </w:rPr>
              <w:t xml:space="preserve">bao gồm tối thiểu các tiết mục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Múa hát Hello Việt Nam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Độc tấu đàn T’ưng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Độc tấu đàn đá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Độc tấu sáo mèo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Độc tấu đàn bầu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MC tiếng</w:t>
            </w:r>
            <w:r w:rsidRPr="00AA191B">
              <w:rPr>
                <w:sz w:val="25"/>
                <w:szCs w:val="25"/>
                <w:lang w:val="de-DE"/>
              </w:rPr>
              <w:t xml:space="preserve"> Việt &amp; tiếng Anh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Trang trí phòng tiệc: Bàn tiệc và bàn tiếp tân có hoa tươi.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Bàn tiệc: bố trí kiểu bàn tròn, 10 người/ bàn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Thực đơn tiệc: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 xml:space="preserve">1 món khai vị (gỏi cuốn tôm/ gỏi gà xé </w:t>
            </w:r>
            <w:r w:rsidRPr="00AA191B">
              <w:rPr>
                <w:sz w:val="25"/>
                <w:szCs w:val="25"/>
              </w:rPr>
              <w:t>phay/ gỏi cuốn vịt dưa leo/ salad đu đủ khô bò/ salad miến tôm hoặc tương đương)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01 món súp (Thịt cua và bắp non/ sườn heo với rau củ/ súp hải sản chua cay/ thịt tôm, mộc nhĩ và cần tây/ súp gà hầm thảo dược hoặc tương đương)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01 món chính (cá chẽm/ cá hồi/ cá bống mú/ gà quay/gà chiên/ gà hấp hoặc tương đương)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lastRenderedPageBreak/>
              <w:t>01 món xào (cải rổ/ bông cải xanh/ cải thìa hoặc tương đương)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01 món cơm chiên/ mì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01 món tráng miệng (bánh pudding dừa/ bánh</w:t>
            </w:r>
            <w:r w:rsidRPr="00AA191B">
              <w:rPr>
                <w:sz w:val="25"/>
                <w:szCs w:val="25"/>
                <w:lang w:val="de-DE"/>
              </w:rPr>
              <w:t xml:space="preserve"> pudding củ năng/ chè bột bán, dưa tây và kem vanilla/ chè bột bán với rau câu dừa/ chè hạt sen long nhãn/ chè long nhãn và rau câu củ năng)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Thức uống: 02 lon nước ngọt Pepsi/Coca Cola/ Mirinda hoặc 02 chai nước suối Lavie/Aquafina hoặc tương đương có dung tích tối thiểu 330ml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Bố trí nhân viên phục vụ bổ sung thức ăn, nước uống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lastRenderedPageBreak/>
              <w:t>Bàn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25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14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>Quà tặng cho Chủ tọa – Báo cáo viên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Ly sứ dưỡng sinh cao cấp, màu trắng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Logo được in theo thiết kế đã phê duyệt, màu sắc bền, sắc nét.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Dung tích: 480ml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Kích thước (tối thiểu): Dài: 9,3 cm, Rộng: 9,3 cm, Cao: 16,1 cm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Bao bì: Đóng gói bằng hộp giấy cứng, có lõi chống va đập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Hình ảnh minh họa</w:t>
            </w:r>
          </w:p>
          <w:p w:rsidR="003A2810" w:rsidRPr="00AA191B" w:rsidRDefault="003A2810" w:rsidP="003A2810">
            <w:pPr>
              <w:pStyle w:val="ListParagraph"/>
              <w:widowControl w:val="0"/>
              <w:tabs>
                <w:tab w:val="left" w:pos="248"/>
              </w:tabs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noProof/>
                <w:sz w:val="25"/>
                <w:szCs w:val="25"/>
              </w:rPr>
              <w:drawing>
                <wp:inline distT="0" distB="0" distL="0" distR="0" wp14:anchorId="26D1490A" wp14:editId="45EBC226">
                  <wp:extent cx="1403737" cy="1485900"/>
                  <wp:effectExtent l="0" t="0" r="6350" b="0"/>
                  <wp:docPr id="193784678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723" cy="150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810" w:rsidRPr="00AA191B" w:rsidRDefault="003A2810" w:rsidP="003A2810">
            <w:pPr>
              <w:pStyle w:val="ListParagraph"/>
              <w:widowControl w:val="0"/>
              <w:tabs>
                <w:tab w:val="left" w:pos="248"/>
              </w:tabs>
              <w:spacing w:before="40" w:after="40" w:line="264" w:lineRule="auto"/>
              <w:ind w:left="0"/>
              <w:contextualSpacing w:val="0"/>
              <w:jc w:val="both"/>
              <w:rPr>
                <w:sz w:val="25"/>
                <w:szCs w:val="25"/>
                <w:lang w:val="de-DE"/>
              </w:rPr>
            </w:pP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highlight w:val="yellow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Cái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100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Del="00451CFD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15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Quà tặng cho người tham dự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</w:rPr>
              <w:t xml:space="preserve">Kích thước: 30 cm (cao) × 35 cm (ngang) × 12 </w:t>
            </w:r>
            <w:r w:rsidRPr="00AA191B">
              <w:rPr>
                <w:sz w:val="25"/>
                <w:szCs w:val="25"/>
                <w:lang w:val="de-DE"/>
              </w:rPr>
              <w:t>cm (hông).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Chất liệu: Vải đay loại dày 1,4mm, chịu lực tối thiểu</w:t>
            </w:r>
            <w:r w:rsidRPr="00AA191B">
              <w:rPr>
                <w:sz w:val="25"/>
                <w:szCs w:val="25"/>
              </w:rPr>
              <w:t xml:space="preserve"> 3 kg; bề mặt vải dệt đều, không xù lông, không xuất hiện lỗ kim to.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Mặt trước và sau: Vải đay màu kem.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Hông túi &amp; quai túi: Vải đay màu xanh dương.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Cấu trúc – Phụ kiện: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Có 01 túi con bên trong kích thước 15cm  × 15cm, sử dụng vải lót phù hợp.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Khóa kéo răng kim loại vận hành trơn tru, không kẹt răng kéo.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58"/>
              </w:tabs>
              <w:spacing w:before="40" w:after="4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Quai túi vải đay màu xanh, dài 50 cm, may gia cố chữ X tại điểm nối.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Kỹ thuật in: In trực tiếp trên vải đay, in 02 mặt – 04 màu; hình in rõ nét, không lem, không nhòe, không bong tróc.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Hình ảnh minh họa:</w:t>
            </w:r>
          </w:p>
          <w:p w:rsidR="003A2810" w:rsidRPr="00AA191B" w:rsidRDefault="003A2810" w:rsidP="003A2810">
            <w:pPr>
              <w:pStyle w:val="ListParagraph"/>
              <w:widowControl w:val="0"/>
              <w:tabs>
                <w:tab w:val="left" w:pos="248"/>
              </w:tabs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noProof/>
                <w:sz w:val="25"/>
                <w:szCs w:val="25"/>
              </w:rPr>
              <w:drawing>
                <wp:inline distT="0" distB="0" distL="0" distR="0" wp14:anchorId="3F59F81B" wp14:editId="798FE7C4">
                  <wp:extent cx="1666875" cy="1666875"/>
                  <wp:effectExtent l="0" t="0" r="9525" b="9525"/>
                  <wp:docPr id="8977777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810" w:rsidRPr="00AA191B" w:rsidRDefault="003A2810" w:rsidP="003A2810">
            <w:pPr>
              <w:pStyle w:val="ListParagraph"/>
              <w:widowControl w:val="0"/>
              <w:tabs>
                <w:tab w:val="left" w:pos="248"/>
              </w:tabs>
              <w:spacing w:before="40" w:after="40" w:line="264" w:lineRule="auto"/>
              <w:ind w:left="0"/>
              <w:contextualSpacing w:val="0"/>
              <w:jc w:val="both"/>
              <w:rPr>
                <w:sz w:val="25"/>
                <w:szCs w:val="25"/>
                <w:lang w:val="de-DE"/>
              </w:rPr>
            </w:pP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Phần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500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Del="00451CFD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lastRenderedPageBreak/>
              <w:t>16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  <w:lang w:val="de-DE"/>
              </w:rPr>
              <w:t>Vé máy bay Hà Nội – TPHCM – Hà Nội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Vé máy bay khứ hồi, hạng phổ thông linh hoạt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Chặng bay thẳng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 xml:space="preserve">Được đổi vé miễn phí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Được hoàn vé (phí hoàn vé được tính theo quy định của hãng hàng không)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Hành lý: 1 kiện ký gửi ≥ 20 kg và 1 kiện xách tay ≥ 10 kg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Cung cấp dịch vụ hỗ trợ check-in trực tuyến 24/7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Vé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09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vi-VN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17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Vé máy bay Qui Nhơn-TPHCM-Qui Nhơn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Vé máy bay khứ hồi, hạng phổ thông linh hoạt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Chặng bay thẳng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 xml:space="preserve">Được đổi vé miễn phí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Được hoàn vé (phí hoàn vé được tính theo quy định của hãng hàng không)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Hành lý: 1 kiện ký gửi ≥ 20 kg và 1 kiện xách tay ≥ 10 kg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Cung cấp dịch vụ hỗ trợ check-in trực tuyến 24/7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Vé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02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2810" w:rsidRPr="00884132" w:rsidTr="00772AC0">
        <w:tc>
          <w:tcPr>
            <w:tcW w:w="545" w:type="dxa"/>
            <w:vAlign w:val="center"/>
          </w:tcPr>
          <w:p w:rsidR="003A2810" w:rsidRPr="00AA191B" w:rsidRDefault="003A2810" w:rsidP="003A2810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18</w:t>
            </w:r>
          </w:p>
        </w:tc>
        <w:tc>
          <w:tcPr>
            <w:tcW w:w="1887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AA191B">
              <w:rPr>
                <w:sz w:val="25"/>
                <w:szCs w:val="25"/>
                <w:lang w:val="de-DE"/>
              </w:rPr>
              <w:t>Vé máy bay Huế-TPHCM-Huế</w:t>
            </w:r>
          </w:p>
        </w:tc>
        <w:tc>
          <w:tcPr>
            <w:tcW w:w="6094" w:type="dxa"/>
            <w:vAlign w:val="center"/>
          </w:tcPr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Vé máy bay khứ hồi, hạng phổ thông linh hoạt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Chặng bay thẳng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 xml:space="preserve">Được đổi vé miễn phí 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Được hoàn vé (phí hoàn vé được tính theo quy định của hãng hàng không)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Hành lý: 1 kiện ký gửi ≥ 20 kg và 1 kiện xách tay ≥ 10 kg</w:t>
            </w:r>
          </w:p>
          <w:p w:rsidR="003A2810" w:rsidRPr="00AA191B" w:rsidRDefault="003A2810" w:rsidP="003A281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8"/>
              </w:tabs>
              <w:spacing w:before="40" w:after="40" w:line="264" w:lineRule="auto"/>
              <w:ind w:left="0" w:firstLine="0"/>
              <w:contextualSpacing w:val="0"/>
              <w:jc w:val="both"/>
              <w:rPr>
                <w:sz w:val="25"/>
                <w:szCs w:val="25"/>
              </w:rPr>
            </w:pPr>
            <w:r w:rsidRPr="00AA191B">
              <w:rPr>
                <w:sz w:val="25"/>
                <w:szCs w:val="25"/>
              </w:rPr>
              <w:t>Cung cấp dịch vụ hỗ trợ check-in trực tuyến 24/7</w:t>
            </w:r>
          </w:p>
        </w:tc>
        <w:tc>
          <w:tcPr>
            <w:tcW w:w="1054" w:type="dxa"/>
            <w:vAlign w:val="center"/>
          </w:tcPr>
          <w:p w:rsidR="003A2810" w:rsidRPr="00AA191B" w:rsidRDefault="003A2810" w:rsidP="003A2810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Vé</w:t>
            </w:r>
          </w:p>
        </w:tc>
        <w:tc>
          <w:tcPr>
            <w:tcW w:w="1269" w:type="dxa"/>
            <w:vAlign w:val="center"/>
          </w:tcPr>
          <w:p w:rsidR="003A2810" w:rsidRPr="00AA191B" w:rsidRDefault="003A2810" w:rsidP="003A2810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AA191B">
              <w:rPr>
                <w:bCs/>
                <w:sz w:val="25"/>
                <w:szCs w:val="25"/>
                <w:lang w:val="de-DE"/>
              </w:rPr>
              <w:t>1</w:t>
            </w:r>
          </w:p>
        </w:tc>
        <w:tc>
          <w:tcPr>
            <w:tcW w:w="1019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3A2810" w:rsidRPr="00884132" w:rsidRDefault="003A2810" w:rsidP="003A281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bookmarkEnd w:id="0"/>
      <w:tr w:rsidR="000A4647" w:rsidRPr="000A4647" w:rsidTr="000A4647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7"/>
      <w:footerReference w:type="default" r:id="rId18"/>
      <w:footerReference w:type="first" r:id="rId19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46"/>
    <w:multiLevelType w:val="hybridMultilevel"/>
    <w:tmpl w:val="558EC098"/>
    <w:lvl w:ilvl="0" w:tplc="2754431E">
      <w:numFmt w:val="bullet"/>
      <w:lvlText w:val="+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038C"/>
    <w:multiLevelType w:val="hybridMultilevel"/>
    <w:tmpl w:val="77AC70E2"/>
    <w:lvl w:ilvl="0" w:tplc="29EE1186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31D18"/>
    <w:multiLevelType w:val="hybridMultilevel"/>
    <w:tmpl w:val="57EA44C8"/>
    <w:lvl w:ilvl="0" w:tplc="B2EC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1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650FA"/>
    <w:multiLevelType w:val="hybridMultilevel"/>
    <w:tmpl w:val="95AA37C8"/>
    <w:lvl w:ilvl="0" w:tplc="0409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  <w:num w:numId="15">
    <w:abstractNumId w:val="14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177541"/>
    <w:rsid w:val="001F2C4E"/>
    <w:rsid w:val="002E30E2"/>
    <w:rsid w:val="00335550"/>
    <w:rsid w:val="003A2810"/>
    <w:rsid w:val="004D2570"/>
    <w:rsid w:val="0056159E"/>
    <w:rsid w:val="005863D1"/>
    <w:rsid w:val="005D498A"/>
    <w:rsid w:val="006A60B9"/>
    <w:rsid w:val="008133FF"/>
    <w:rsid w:val="00884132"/>
    <w:rsid w:val="008C6EBD"/>
    <w:rsid w:val="00970B08"/>
    <w:rsid w:val="00984282"/>
    <w:rsid w:val="00986E40"/>
    <w:rsid w:val="009D411A"/>
    <w:rsid w:val="00A20405"/>
    <w:rsid w:val="00A23926"/>
    <w:rsid w:val="00A52993"/>
    <w:rsid w:val="00AE28B4"/>
    <w:rsid w:val="00AE6C4A"/>
    <w:rsid w:val="00B110E5"/>
    <w:rsid w:val="00B9460B"/>
    <w:rsid w:val="00DB760F"/>
    <w:rsid w:val="00DF1D2C"/>
    <w:rsid w:val="00E86D96"/>
    <w:rsid w:val="00F444EF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1CB0-5471-4782-A871-4FB7778E6FD9}">
  <ds:schemaRefs/>
</ds:datastoreItem>
</file>

<file path=customXml/itemProps2.xml><?xml version="1.0" encoding="utf-8"?>
<ds:datastoreItem xmlns:ds="http://schemas.openxmlformats.org/officeDocument/2006/customXml" ds:itemID="{E06895A4-1304-4334-AAB8-B35C43F37ED1}">
  <ds:schemaRefs/>
</ds:datastoreItem>
</file>

<file path=customXml/itemProps3.xml><?xml version="1.0" encoding="utf-8"?>
<ds:datastoreItem xmlns:ds="http://schemas.openxmlformats.org/officeDocument/2006/customXml" ds:itemID="{ED002CEB-6FB2-4A3D-9E15-394C661C4892}">
  <ds:schemaRefs/>
</ds:datastoreItem>
</file>

<file path=customXml/itemProps4.xml><?xml version="1.0" encoding="utf-8"?>
<ds:datastoreItem xmlns:ds="http://schemas.openxmlformats.org/officeDocument/2006/customXml" ds:itemID="{A7ED0C01-0FA2-4C9A-AD8A-A91619AF33A2}">
  <ds:schemaRefs/>
</ds:datastoreItem>
</file>

<file path=customXml/itemProps5.xml><?xml version="1.0" encoding="utf-8"?>
<ds:datastoreItem xmlns:ds="http://schemas.openxmlformats.org/officeDocument/2006/customXml" ds:itemID="{80392AF5-AE4F-4789-B4F0-047B612D3ECF}">
  <ds:schemaRefs/>
</ds:datastoreItem>
</file>

<file path=customXml/itemProps6.xml><?xml version="1.0" encoding="utf-8"?>
<ds:datastoreItem xmlns:ds="http://schemas.openxmlformats.org/officeDocument/2006/customXml" ds:itemID="{B7240201-DF52-4642-9499-6ABA6E17732B}">
  <ds:schemaRefs/>
</ds:datastoreItem>
</file>

<file path=customXml/itemProps7.xml><?xml version="1.0" encoding="utf-8"?>
<ds:datastoreItem xmlns:ds="http://schemas.openxmlformats.org/officeDocument/2006/customXml" ds:itemID="{6983F140-5ED2-4A35-AF64-B0EA3216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3</cp:revision>
  <cp:lastPrinted>2023-08-14T09:23:00Z</cp:lastPrinted>
  <dcterms:created xsi:type="dcterms:W3CDTF">2026-01-21T03:11:00Z</dcterms:created>
  <dcterms:modified xsi:type="dcterms:W3CDTF">2026-01-21T03:26:00Z</dcterms:modified>
</cp:coreProperties>
</file>