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2E59B" w14:textId="77777777" w:rsidR="0015509C" w:rsidRDefault="00173D66">
      <w:pPr>
        <w:tabs>
          <w:tab w:val="left" w:pos="3945"/>
        </w:tabs>
        <w:rPr>
          <w:b/>
          <w:bCs/>
          <w:sz w:val="26"/>
          <w:szCs w:val="26"/>
        </w:rPr>
      </w:pPr>
      <w:r>
        <w:rPr>
          <w:b/>
          <w:bCs/>
          <w:sz w:val="26"/>
          <w:szCs w:val="26"/>
        </w:rPr>
        <w:t>CÔNG TY: ……………………………………………</w:t>
      </w:r>
    </w:p>
    <w:p w14:paraId="63F2E59C" w14:textId="77777777" w:rsidR="0015509C" w:rsidRDefault="00173D66">
      <w:pPr>
        <w:spacing w:before="120" w:after="120"/>
        <w:rPr>
          <w:b/>
          <w:bCs/>
          <w:sz w:val="26"/>
          <w:szCs w:val="26"/>
        </w:rPr>
      </w:pPr>
      <w:r>
        <w:rPr>
          <w:b/>
          <w:bCs/>
          <w:sz w:val="26"/>
          <w:szCs w:val="26"/>
        </w:rPr>
        <w:t>ĐỊA CHỈ: ……………………………………………..</w:t>
      </w:r>
    </w:p>
    <w:p w14:paraId="63F2E59D" w14:textId="77777777" w:rsidR="0015509C" w:rsidRDefault="00173D66">
      <w:pPr>
        <w:spacing w:before="120" w:after="120"/>
        <w:rPr>
          <w:b/>
          <w:bCs/>
          <w:sz w:val="26"/>
          <w:szCs w:val="26"/>
        </w:rPr>
      </w:pPr>
      <w:r>
        <w:rPr>
          <w:b/>
          <w:bCs/>
          <w:sz w:val="26"/>
          <w:szCs w:val="26"/>
        </w:rPr>
        <w:t>SỐ ĐIỆN THOẠI: …………………………………...</w:t>
      </w:r>
    </w:p>
    <w:p w14:paraId="63F2E59E" w14:textId="77777777" w:rsidR="0015509C" w:rsidRDefault="0015509C">
      <w:pPr>
        <w:spacing w:before="120" w:after="120"/>
        <w:rPr>
          <w:b/>
          <w:bCs/>
          <w:sz w:val="32"/>
          <w:szCs w:val="32"/>
        </w:rPr>
      </w:pPr>
    </w:p>
    <w:p w14:paraId="63F2E59F" w14:textId="77777777" w:rsidR="0015509C" w:rsidRDefault="00173D66">
      <w:pPr>
        <w:spacing w:before="120" w:after="120"/>
        <w:jc w:val="center"/>
        <w:rPr>
          <w:b/>
          <w:bCs/>
          <w:sz w:val="32"/>
          <w:szCs w:val="32"/>
        </w:rPr>
      </w:pPr>
      <w:r>
        <w:rPr>
          <w:b/>
          <w:bCs/>
          <w:sz w:val="32"/>
          <w:szCs w:val="32"/>
        </w:rPr>
        <w:t>BẢNG BÁO GIÁ</w:t>
      </w:r>
    </w:p>
    <w:p w14:paraId="63F2E5A0" w14:textId="77777777" w:rsidR="0015509C" w:rsidRDefault="00173D66">
      <w:pPr>
        <w:spacing w:before="240" w:after="120"/>
        <w:ind w:left="720"/>
        <w:rPr>
          <w:sz w:val="26"/>
          <w:szCs w:val="26"/>
        </w:rPr>
      </w:pPr>
      <w:r>
        <w:rPr>
          <w:sz w:val="26"/>
          <w:szCs w:val="26"/>
        </w:rPr>
        <w:t>Kính gửi: Bệnh viện Đại học Y Dược TPHCM</w:t>
      </w:r>
    </w:p>
    <w:p w14:paraId="63F2E5A1" w14:textId="77777777" w:rsidR="0015509C" w:rsidRDefault="00173D66">
      <w:pPr>
        <w:spacing w:before="120" w:after="120"/>
        <w:ind w:left="720"/>
        <w:rPr>
          <w:sz w:val="26"/>
          <w:szCs w:val="26"/>
        </w:rPr>
      </w:pPr>
      <w:r>
        <w:rPr>
          <w:sz w:val="26"/>
          <w:szCs w:val="26"/>
        </w:rPr>
        <w:t>Địa chỉ: 215 Hồng Bàng, Phường 11, Quận 5, TPHCM</w:t>
      </w:r>
    </w:p>
    <w:p w14:paraId="63F2E5A2" w14:textId="77777777" w:rsidR="0015509C" w:rsidRDefault="00173D66">
      <w:pPr>
        <w:spacing w:before="120" w:after="120"/>
        <w:ind w:left="720"/>
        <w:rPr>
          <w:sz w:val="26"/>
          <w:szCs w:val="26"/>
        </w:rPr>
      </w:pPr>
      <w:r>
        <w:rPr>
          <w:sz w:val="26"/>
          <w:szCs w:val="26"/>
        </w:rPr>
        <w:t>Theo công văn mời chào giá số ……../BVĐHYD-</w:t>
      </w:r>
      <w:r w:rsidR="00CE1161">
        <w:rPr>
          <w:sz w:val="26"/>
          <w:szCs w:val="26"/>
        </w:rPr>
        <w:t>VTTB</w:t>
      </w:r>
      <w:r>
        <w:rPr>
          <w:sz w:val="26"/>
          <w:szCs w:val="26"/>
        </w:rPr>
        <w:t xml:space="preserve"> của Bệnh viện, Công ty chúng tôi báo giá như sau:</w:t>
      </w:r>
    </w:p>
    <w:tbl>
      <w:tblPr>
        <w:tblW w:w="13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19"/>
        <w:gridCol w:w="5524"/>
        <w:gridCol w:w="1018"/>
        <w:gridCol w:w="1418"/>
        <w:gridCol w:w="1418"/>
        <w:gridCol w:w="1418"/>
      </w:tblGrid>
      <w:tr w:rsidR="00380E54" w:rsidRPr="00E50CB0" w14:paraId="63F2E5AA" w14:textId="77777777" w:rsidTr="00380E54">
        <w:trPr>
          <w:trHeight w:val="458"/>
          <w:jc w:val="center"/>
        </w:trPr>
        <w:tc>
          <w:tcPr>
            <w:tcW w:w="850" w:type="dxa"/>
            <w:vAlign w:val="center"/>
          </w:tcPr>
          <w:p w14:paraId="63F2E5A3" w14:textId="77777777" w:rsidR="00380E54" w:rsidRPr="00E50CB0" w:rsidRDefault="00380E54" w:rsidP="006A1F6C">
            <w:pPr>
              <w:rPr>
                <w:b/>
                <w:bCs/>
                <w:sz w:val="26"/>
                <w:szCs w:val="26"/>
              </w:rPr>
            </w:pPr>
            <w:r>
              <w:rPr>
                <w:b/>
                <w:bCs/>
                <w:sz w:val="26"/>
                <w:szCs w:val="26"/>
              </w:rPr>
              <w:t>Stt</w:t>
            </w:r>
          </w:p>
        </w:tc>
        <w:tc>
          <w:tcPr>
            <w:tcW w:w="1819" w:type="dxa"/>
            <w:vAlign w:val="center"/>
          </w:tcPr>
          <w:p w14:paraId="63F2E5A4" w14:textId="77777777" w:rsidR="00380E54" w:rsidRDefault="00380E54" w:rsidP="00380E54">
            <w:pPr>
              <w:jc w:val="center"/>
              <w:rPr>
                <w:b/>
                <w:bCs/>
                <w:sz w:val="26"/>
                <w:szCs w:val="26"/>
              </w:rPr>
            </w:pPr>
            <w:r w:rsidRPr="00380E54">
              <w:rPr>
                <w:b/>
                <w:bCs/>
                <w:sz w:val="26"/>
                <w:szCs w:val="26"/>
              </w:rPr>
              <w:t>TT trong danh mục mời chào giá</w:t>
            </w:r>
          </w:p>
        </w:tc>
        <w:tc>
          <w:tcPr>
            <w:tcW w:w="5524" w:type="dxa"/>
            <w:vAlign w:val="center"/>
          </w:tcPr>
          <w:p w14:paraId="63F2E5A5" w14:textId="77777777" w:rsidR="00380E54" w:rsidRPr="00E50CB0" w:rsidRDefault="00380E54" w:rsidP="006A1F6C">
            <w:pPr>
              <w:rPr>
                <w:b/>
                <w:bCs/>
                <w:sz w:val="26"/>
                <w:szCs w:val="26"/>
              </w:rPr>
            </w:pPr>
            <w:r>
              <w:rPr>
                <w:b/>
                <w:bCs/>
                <w:sz w:val="26"/>
                <w:szCs w:val="26"/>
              </w:rPr>
              <w:t>Tên danh mục</w:t>
            </w:r>
          </w:p>
        </w:tc>
        <w:tc>
          <w:tcPr>
            <w:tcW w:w="1018" w:type="dxa"/>
            <w:vAlign w:val="center"/>
          </w:tcPr>
          <w:p w14:paraId="63F2E5A6" w14:textId="77777777" w:rsidR="00380E54" w:rsidRPr="00E50CB0" w:rsidRDefault="00380E54" w:rsidP="006A1F6C">
            <w:pPr>
              <w:rPr>
                <w:b/>
                <w:bCs/>
                <w:sz w:val="26"/>
                <w:szCs w:val="26"/>
              </w:rPr>
            </w:pPr>
            <w:r>
              <w:rPr>
                <w:b/>
                <w:bCs/>
                <w:sz w:val="26"/>
                <w:szCs w:val="26"/>
              </w:rPr>
              <w:t>ĐVT</w:t>
            </w:r>
          </w:p>
        </w:tc>
        <w:tc>
          <w:tcPr>
            <w:tcW w:w="1418" w:type="dxa"/>
            <w:vAlign w:val="center"/>
          </w:tcPr>
          <w:p w14:paraId="63F2E5A7" w14:textId="77777777" w:rsidR="00380E54" w:rsidRPr="00E50CB0" w:rsidRDefault="00380E54" w:rsidP="006A1F6C">
            <w:pPr>
              <w:rPr>
                <w:b/>
                <w:bCs/>
                <w:sz w:val="26"/>
                <w:szCs w:val="26"/>
              </w:rPr>
            </w:pPr>
            <w:r>
              <w:rPr>
                <w:b/>
                <w:bCs/>
                <w:sz w:val="26"/>
                <w:szCs w:val="26"/>
              </w:rPr>
              <w:t>Số lượng</w:t>
            </w:r>
          </w:p>
        </w:tc>
        <w:tc>
          <w:tcPr>
            <w:tcW w:w="1418" w:type="dxa"/>
            <w:vAlign w:val="center"/>
          </w:tcPr>
          <w:p w14:paraId="63F2E5A8" w14:textId="77777777" w:rsidR="00380E54" w:rsidRDefault="00380E54" w:rsidP="00380E54">
            <w:pPr>
              <w:jc w:val="center"/>
              <w:rPr>
                <w:b/>
                <w:bCs/>
                <w:sz w:val="26"/>
                <w:szCs w:val="26"/>
              </w:rPr>
            </w:pPr>
            <w:r>
              <w:rPr>
                <w:b/>
                <w:bCs/>
                <w:sz w:val="26"/>
                <w:szCs w:val="26"/>
              </w:rPr>
              <w:t>Đơn giá</w:t>
            </w:r>
          </w:p>
        </w:tc>
        <w:tc>
          <w:tcPr>
            <w:tcW w:w="1418" w:type="dxa"/>
            <w:vAlign w:val="center"/>
          </w:tcPr>
          <w:p w14:paraId="63F2E5A9" w14:textId="77777777" w:rsidR="00380E54" w:rsidRDefault="00380E54" w:rsidP="00380E54">
            <w:pPr>
              <w:jc w:val="center"/>
              <w:rPr>
                <w:b/>
                <w:bCs/>
                <w:sz w:val="26"/>
                <w:szCs w:val="26"/>
              </w:rPr>
            </w:pPr>
            <w:r>
              <w:rPr>
                <w:b/>
                <w:bCs/>
                <w:sz w:val="26"/>
                <w:szCs w:val="26"/>
              </w:rPr>
              <w:t>Ghi chú</w:t>
            </w:r>
          </w:p>
        </w:tc>
      </w:tr>
      <w:tr w:rsidR="00822689" w:rsidRPr="00E50CB0" w14:paraId="63F2E5B5" w14:textId="77777777" w:rsidTr="00822689">
        <w:trPr>
          <w:trHeight w:val="458"/>
          <w:jc w:val="center"/>
        </w:trPr>
        <w:tc>
          <w:tcPr>
            <w:tcW w:w="850" w:type="dxa"/>
          </w:tcPr>
          <w:p w14:paraId="63F2E5AB" w14:textId="77777777" w:rsidR="00822689" w:rsidRPr="00D22B5E" w:rsidRDefault="00822689" w:rsidP="00822689">
            <w:pPr>
              <w:jc w:val="center"/>
              <w:rPr>
                <w:bCs/>
                <w:sz w:val="26"/>
                <w:szCs w:val="26"/>
              </w:rPr>
            </w:pPr>
            <w:r w:rsidRPr="00D22B5E">
              <w:rPr>
                <w:bCs/>
                <w:sz w:val="26"/>
                <w:szCs w:val="26"/>
              </w:rPr>
              <w:t>1</w:t>
            </w:r>
          </w:p>
        </w:tc>
        <w:tc>
          <w:tcPr>
            <w:tcW w:w="1819" w:type="dxa"/>
          </w:tcPr>
          <w:p w14:paraId="63F2E5AC" w14:textId="3067E5C6" w:rsidR="00822689" w:rsidRPr="00D22B5E" w:rsidRDefault="00822689" w:rsidP="00822689">
            <w:pPr>
              <w:jc w:val="center"/>
              <w:rPr>
                <w:bCs/>
                <w:sz w:val="26"/>
                <w:szCs w:val="26"/>
              </w:rPr>
            </w:pPr>
            <w:r w:rsidRPr="00426E03">
              <w:rPr>
                <w:bCs/>
                <w:color w:val="000000"/>
              </w:rPr>
              <w:t>1</w:t>
            </w:r>
          </w:p>
        </w:tc>
        <w:tc>
          <w:tcPr>
            <w:tcW w:w="5524" w:type="dxa"/>
          </w:tcPr>
          <w:p w14:paraId="572A15D4" w14:textId="77777777" w:rsidR="00822689" w:rsidRDefault="00822689" w:rsidP="00822689">
            <w:pPr>
              <w:spacing w:before="120"/>
              <w:jc w:val="both"/>
              <w:rPr>
                <w:color w:val="000000"/>
              </w:rPr>
            </w:pPr>
            <w:r w:rsidRPr="00426E03">
              <w:rPr>
                <w:color w:val="000000"/>
              </w:rPr>
              <w:t>Dịch vụ đo liều chiếu xạ cá nhân:</w:t>
            </w:r>
          </w:p>
          <w:p w14:paraId="0494421B" w14:textId="77777777" w:rsidR="00822689" w:rsidRDefault="00822689" w:rsidP="00822689">
            <w:pPr>
              <w:spacing w:before="120"/>
              <w:jc w:val="both"/>
              <w:rPr>
                <w:color w:val="000000"/>
              </w:rPr>
            </w:pPr>
            <w:r>
              <w:rPr>
                <w:color w:val="000000"/>
              </w:rPr>
              <w:t>Tổng công đo và phí cho thuê liều chiếu xạ cá nhân: 4 đợt/năm (3 tháng 1 đợt).</w:t>
            </w:r>
          </w:p>
          <w:p w14:paraId="46B8C25A" w14:textId="77777777" w:rsidR="00822689" w:rsidRPr="00CD0990" w:rsidRDefault="00822689" w:rsidP="00822689">
            <w:pPr>
              <w:pStyle w:val="ListParagraph"/>
              <w:numPr>
                <w:ilvl w:val="0"/>
                <w:numId w:val="4"/>
              </w:numPr>
              <w:spacing w:before="120"/>
              <w:ind w:left="325" w:hanging="283"/>
              <w:jc w:val="both"/>
              <w:rPr>
                <w:color w:val="000000"/>
                <w:u w:val="single"/>
              </w:rPr>
            </w:pPr>
            <w:r w:rsidRPr="00CD0990">
              <w:rPr>
                <w:color w:val="000000"/>
                <w:u w:val="single"/>
              </w:rPr>
              <w:t>Yêu cầu kỹ thuật:</w:t>
            </w:r>
          </w:p>
          <w:p w14:paraId="3904C78B" w14:textId="77777777" w:rsidR="00822689" w:rsidRPr="00CD0990" w:rsidRDefault="00822689" w:rsidP="00822689">
            <w:pPr>
              <w:pStyle w:val="ListParagraph"/>
              <w:numPr>
                <w:ilvl w:val="0"/>
                <w:numId w:val="3"/>
              </w:numPr>
              <w:tabs>
                <w:tab w:val="left" w:pos="42"/>
                <w:tab w:val="left" w:pos="325"/>
              </w:tabs>
              <w:spacing w:before="120"/>
              <w:ind w:left="42" w:firstLine="0"/>
              <w:jc w:val="both"/>
              <w:rPr>
                <w:color w:val="000000"/>
              </w:rPr>
            </w:pPr>
            <w:r w:rsidRPr="00CD0990">
              <w:rPr>
                <w:color w:val="000000"/>
              </w:rPr>
              <w:t>Về năng lực của đơn vị thực hiện dịch vụ phải cung cấp đầy đủ Giấy đăng ký hoạt động dịch vụ hỗ trợ ứng dụng năng lượng nguyên tử (đối với dịch vụ đo liều chiếu xạ cá nhân) còn hiệu lực do cơ quan có thẩm quyền cấp theo quy định của pháp luật.</w:t>
            </w:r>
          </w:p>
          <w:p w14:paraId="0767F8F7" w14:textId="77777777" w:rsidR="00822689" w:rsidRPr="00CD0990" w:rsidRDefault="00822689" w:rsidP="00822689">
            <w:pPr>
              <w:pStyle w:val="ListParagraph"/>
              <w:numPr>
                <w:ilvl w:val="0"/>
                <w:numId w:val="3"/>
              </w:numPr>
              <w:tabs>
                <w:tab w:val="left" w:pos="42"/>
                <w:tab w:val="left" w:pos="325"/>
              </w:tabs>
              <w:spacing w:before="120"/>
              <w:ind w:left="42" w:firstLine="0"/>
              <w:jc w:val="both"/>
              <w:rPr>
                <w:color w:val="000000"/>
              </w:rPr>
            </w:pPr>
            <w:r w:rsidRPr="00CD0990">
              <w:rPr>
                <w:color w:val="000000"/>
              </w:rPr>
              <w:t>Đọc kết quả Hp (10) mSv.</w:t>
            </w:r>
          </w:p>
          <w:p w14:paraId="3AC6CA90" w14:textId="77777777" w:rsidR="00822689" w:rsidRPr="00CD0990" w:rsidRDefault="00822689" w:rsidP="00822689">
            <w:pPr>
              <w:pStyle w:val="ListParagraph"/>
              <w:numPr>
                <w:ilvl w:val="0"/>
                <w:numId w:val="3"/>
              </w:numPr>
              <w:tabs>
                <w:tab w:val="left" w:pos="42"/>
                <w:tab w:val="left" w:pos="325"/>
              </w:tabs>
              <w:spacing w:before="120"/>
              <w:ind w:left="42" w:firstLine="0"/>
              <w:jc w:val="both"/>
              <w:rPr>
                <w:color w:val="000000"/>
              </w:rPr>
            </w:pPr>
            <w:r w:rsidRPr="00CD0990">
              <w:rPr>
                <w:color w:val="000000"/>
              </w:rPr>
              <w:t>Về máy móc thiết bị và phương thức thực hiện dịch vụ:</w:t>
            </w:r>
          </w:p>
          <w:p w14:paraId="7755BDF1" w14:textId="77777777" w:rsidR="00822689" w:rsidRPr="00CD0990" w:rsidRDefault="00822689" w:rsidP="00822689">
            <w:pPr>
              <w:pStyle w:val="ListParagraph"/>
              <w:numPr>
                <w:ilvl w:val="0"/>
                <w:numId w:val="5"/>
              </w:numPr>
              <w:spacing w:before="120"/>
              <w:jc w:val="both"/>
              <w:rPr>
                <w:color w:val="000000"/>
              </w:rPr>
            </w:pPr>
            <w:r w:rsidRPr="00CD0990">
              <w:rPr>
                <w:color w:val="000000"/>
              </w:rPr>
              <w:t>Loại liều kế cá nhân: Nhiệt phát quang (TLD);</w:t>
            </w:r>
          </w:p>
          <w:p w14:paraId="2F64B944" w14:textId="77777777" w:rsidR="00822689" w:rsidRPr="00CD0990" w:rsidRDefault="00822689" w:rsidP="00822689">
            <w:pPr>
              <w:pStyle w:val="ListParagraph"/>
              <w:numPr>
                <w:ilvl w:val="0"/>
                <w:numId w:val="5"/>
              </w:numPr>
              <w:spacing w:before="120"/>
              <w:jc w:val="both"/>
              <w:rPr>
                <w:color w:val="000000"/>
              </w:rPr>
            </w:pPr>
            <w:r w:rsidRPr="00CD0990">
              <w:rPr>
                <w:color w:val="000000"/>
              </w:rPr>
              <w:t>Máy đọc liều chiếu xạ cá nhân: dải đo tuyến tính, đáp ứng yêu cầu về độ chính xác do Quốc tế quy định ≤ ± 30% theo tiêu chuẩn IEC-</w:t>
            </w:r>
            <w:r w:rsidRPr="00CD0990">
              <w:rPr>
                <w:color w:val="000000"/>
              </w:rPr>
              <w:lastRenderedPageBreak/>
              <w:t>1066:1991;</w:t>
            </w:r>
          </w:p>
          <w:p w14:paraId="46244323" w14:textId="77777777" w:rsidR="00822689" w:rsidRPr="00CD0990" w:rsidRDefault="00822689" w:rsidP="00822689">
            <w:pPr>
              <w:pStyle w:val="ListParagraph"/>
              <w:numPr>
                <w:ilvl w:val="0"/>
                <w:numId w:val="5"/>
              </w:numPr>
              <w:spacing w:before="120"/>
              <w:jc w:val="both"/>
              <w:rPr>
                <w:color w:val="000000"/>
              </w:rPr>
            </w:pPr>
            <w:r w:rsidRPr="00CD0990">
              <w:rPr>
                <w:color w:val="000000"/>
              </w:rPr>
              <w:t>Số đợt đo liều cá nhân: 4 đợt/năm (3 tháng 1 đợt);</w:t>
            </w:r>
          </w:p>
          <w:p w14:paraId="783082F5" w14:textId="77777777" w:rsidR="00822689" w:rsidRPr="00CD0990" w:rsidRDefault="00822689" w:rsidP="00822689">
            <w:pPr>
              <w:pStyle w:val="ListParagraph"/>
              <w:numPr>
                <w:ilvl w:val="0"/>
                <w:numId w:val="5"/>
              </w:numPr>
              <w:spacing w:before="120"/>
              <w:jc w:val="both"/>
              <w:rPr>
                <w:color w:val="000000"/>
              </w:rPr>
            </w:pPr>
            <w:r w:rsidRPr="00CD0990">
              <w:rPr>
                <w:color w:val="000000"/>
              </w:rPr>
              <w:t>Hình thức giao/nhận liều kế: gửi đảm bảo qua đường bưu điện.</w:t>
            </w:r>
          </w:p>
          <w:p w14:paraId="63F2E5B0" w14:textId="781CEAC2" w:rsidR="00822689" w:rsidRPr="00822689" w:rsidRDefault="00822689" w:rsidP="00822689">
            <w:pPr>
              <w:spacing w:before="120" w:after="120"/>
              <w:jc w:val="both"/>
              <w:rPr>
                <w:sz w:val="26"/>
                <w:szCs w:val="26"/>
              </w:rPr>
            </w:pPr>
            <w:r w:rsidRPr="00CD0990">
              <w:rPr>
                <w:color w:val="000000"/>
              </w:rPr>
              <w:t>Trả kết quả đo liều kế bằng biên bản đo liều trong thời gian tối thiểu 10 ngày kể từ ngày nhận được liều kế. Có khuyến cáo đối với kết quả đọc quá liều theo quy định của Pháp luật cho bệnh viện.</w:t>
            </w:r>
          </w:p>
        </w:tc>
        <w:tc>
          <w:tcPr>
            <w:tcW w:w="1018" w:type="dxa"/>
          </w:tcPr>
          <w:p w14:paraId="63F2E5B1" w14:textId="76885DD5" w:rsidR="00822689" w:rsidRPr="00E50CB0" w:rsidRDefault="00822689" w:rsidP="00822689">
            <w:pPr>
              <w:spacing w:before="120" w:after="120"/>
              <w:jc w:val="center"/>
              <w:rPr>
                <w:sz w:val="26"/>
                <w:szCs w:val="26"/>
              </w:rPr>
            </w:pPr>
            <w:r w:rsidRPr="00426E03">
              <w:rPr>
                <w:bCs/>
                <w:color w:val="000000"/>
              </w:rPr>
              <w:lastRenderedPageBreak/>
              <w:t>Liều kế</w:t>
            </w:r>
          </w:p>
        </w:tc>
        <w:tc>
          <w:tcPr>
            <w:tcW w:w="1418" w:type="dxa"/>
          </w:tcPr>
          <w:p w14:paraId="63F2E5B2" w14:textId="45ABEE54" w:rsidR="00822689" w:rsidRPr="00E50CB0" w:rsidRDefault="00822689" w:rsidP="00822689">
            <w:pPr>
              <w:spacing w:before="120" w:after="120"/>
              <w:jc w:val="center"/>
              <w:rPr>
                <w:sz w:val="26"/>
                <w:szCs w:val="26"/>
              </w:rPr>
            </w:pPr>
            <w:r>
              <w:rPr>
                <w:bCs/>
                <w:color w:val="000000"/>
              </w:rPr>
              <w:t>500</w:t>
            </w:r>
          </w:p>
        </w:tc>
        <w:tc>
          <w:tcPr>
            <w:tcW w:w="1418" w:type="dxa"/>
            <w:vAlign w:val="center"/>
          </w:tcPr>
          <w:p w14:paraId="63F2E5B3" w14:textId="77777777" w:rsidR="00822689" w:rsidRPr="00D22B5E" w:rsidRDefault="00822689" w:rsidP="00822689">
            <w:pPr>
              <w:jc w:val="center"/>
              <w:rPr>
                <w:bCs/>
                <w:sz w:val="26"/>
                <w:szCs w:val="26"/>
              </w:rPr>
            </w:pPr>
          </w:p>
        </w:tc>
        <w:tc>
          <w:tcPr>
            <w:tcW w:w="1418" w:type="dxa"/>
            <w:vAlign w:val="center"/>
          </w:tcPr>
          <w:p w14:paraId="63F2E5B4" w14:textId="77777777" w:rsidR="00822689" w:rsidRPr="00D22B5E" w:rsidRDefault="00822689" w:rsidP="00822689">
            <w:pPr>
              <w:jc w:val="center"/>
              <w:rPr>
                <w:bCs/>
                <w:sz w:val="26"/>
                <w:szCs w:val="26"/>
              </w:rPr>
            </w:pPr>
          </w:p>
        </w:tc>
      </w:tr>
    </w:tbl>
    <w:p w14:paraId="63F2E5C1" w14:textId="77777777" w:rsidR="0015509C" w:rsidRDefault="00173D66" w:rsidP="0036006A">
      <w:pPr>
        <w:pStyle w:val="ListParagraph"/>
        <w:numPr>
          <w:ilvl w:val="0"/>
          <w:numId w:val="1"/>
        </w:numPr>
        <w:spacing w:before="120" w:after="120"/>
        <w:rPr>
          <w:sz w:val="26"/>
          <w:szCs w:val="26"/>
        </w:rPr>
      </w:pPr>
      <w:r>
        <w:rPr>
          <w:sz w:val="26"/>
          <w:szCs w:val="26"/>
        </w:rPr>
        <w:t>Yêu cầu báo giá:</w:t>
      </w:r>
    </w:p>
    <w:p w14:paraId="63F2E5C2" w14:textId="77777777" w:rsidR="0015509C" w:rsidRDefault="00173D66" w:rsidP="0036006A">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1"/>
      </w:r>
      <w:r>
        <w:rPr>
          <w:sz w:val="26"/>
          <w:szCs w:val="26"/>
          <w:vertAlign w:val="superscript"/>
        </w:rPr>
        <w:t>)</w:t>
      </w:r>
      <w:r>
        <w:rPr>
          <w:sz w:val="26"/>
          <w:szCs w:val="26"/>
        </w:rPr>
        <w:t xml:space="preserve"> ngày kể từ ngày báo giá.</w:t>
      </w:r>
    </w:p>
    <w:p w14:paraId="63F2E5C3" w14:textId="77777777" w:rsidR="0015509C" w:rsidRDefault="00173D66" w:rsidP="0036006A">
      <w:pPr>
        <w:spacing w:before="120" w:after="120"/>
        <w:ind w:firstLine="567"/>
        <w:rPr>
          <w:sz w:val="26"/>
          <w:szCs w:val="26"/>
          <w:shd w:val="clear" w:color="auto" w:fill="FFFFFF"/>
        </w:rPr>
      </w:pPr>
      <w:r>
        <w:rPr>
          <w:sz w:val="26"/>
          <w:szCs w:val="26"/>
          <w:shd w:val="clear" w:color="auto" w:fill="FFFFFF"/>
        </w:rPr>
        <w:t xml:space="preserve">- </w:t>
      </w:r>
      <w:r>
        <w:rPr>
          <w:i/>
          <w:sz w:val="26"/>
          <w:szCs w:val="26"/>
          <w:shd w:val="clear" w:color="auto" w:fill="FFFFFF"/>
        </w:rPr>
        <w:t>Chúng tôi cam kết về đơn giá chào hàng bằng hoặc thấp hơn giá trên thị trường của cùng nhà cung ứng hoặc cùng chủng loại.</w:t>
      </w:r>
    </w:p>
    <w:p w14:paraId="63F2E5C4" w14:textId="77777777" w:rsidR="0015509C" w:rsidRDefault="00173D66" w:rsidP="0036006A">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40"/>
        <w:gridCol w:w="4740"/>
        <w:gridCol w:w="4740"/>
      </w:tblGrid>
      <w:tr w:rsidR="0015509C" w14:paraId="63F2E5CA" w14:textId="77777777" w:rsidTr="0036006A">
        <w:trPr>
          <w:trHeight w:val="667"/>
        </w:trPr>
        <w:tc>
          <w:tcPr>
            <w:tcW w:w="4740" w:type="dxa"/>
          </w:tcPr>
          <w:p w14:paraId="63F2E5C5" w14:textId="77777777" w:rsidR="0015509C" w:rsidRDefault="0015509C">
            <w:pPr>
              <w:spacing w:before="120" w:after="120"/>
              <w:rPr>
                <w:sz w:val="26"/>
                <w:szCs w:val="26"/>
              </w:rPr>
            </w:pPr>
          </w:p>
        </w:tc>
        <w:tc>
          <w:tcPr>
            <w:tcW w:w="4740" w:type="dxa"/>
          </w:tcPr>
          <w:p w14:paraId="63F2E5C6" w14:textId="77777777" w:rsidR="0015509C" w:rsidRDefault="0015509C">
            <w:pPr>
              <w:spacing w:before="120" w:after="120"/>
              <w:rPr>
                <w:sz w:val="26"/>
                <w:szCs w:val="26"/>
              </w:rPr>
            </w:pPr>
          </w:p>
        </w:tc>
        <w:tc>
          <w:tcPr>
            <w:tcW w:w="4740" w:type="dxa"/>
          </w:tcPr>
          <w:p w14:paraId="63F2E5C7" w14:textId="77777777" w:rsidR="0015509C" w:rsidRDefault="00173D66" w:rsidP="0036006A">
            <w:pPr>
              <w:spacing w:before="120" w:after="120"/>
              <w:jc w:val="center"/>
              <w:rPr>
                <w:sz w:val="26"/>
                <w:szCs w:val="26"/>
              </w:rPr>
            </w:pPr>
            <w:r>
              <w:rPr>
                <w:sz w:val="26"/>
                <w:szCs w:val="26"/>
              </w:rPr>
              <w:t>Ngày … tháng …. năm ….</w:t>
            </w:r>
          </w:p>
          <w:p w14:paraId="63F2E5C8" w14:textId="77777777" w:rsidR="0015509C" w:rsidRDefault="00173D66" w:rsidP="0036006A">
            <w:pPr>
              <w:spacing w:before="120" w:after="120"/>
              <w:jc w:val="center"/>
              <w:rPr>
                <w:b/>
                <w:bCs/>
                <w:sz w:val="26"/>
                <w:szCs w:val="26"/>
              </w:rPr>
            </w:pPr>
            <w:r>
              <w:rPr>
                <w:b/>
                <w:bCs/>
                <w:sz w:val="26"/>
                <w:szCs w:val="26"/>
              </w:rPr>
              <w:t>ĐẠI DIỆN THEO PHÁP LUẬT</w:t>
            </w:r>
          </w:p>
          <w:p w14:paraId="63F2E5C9" w14:textId="77777777" w:rsidR="0015509C" w:rsidRDefault="00173D66" w:rsidP="0036006A">
            <w:pPr>
              <w:spacing w:before="120" w:after="120"/>
              <w:jc w:val="center"/>
              <w:rPr>
                <w:sz w:val="26"/>
                <w:szCs w:val="26"/>
              </w:rPr>
            </w:pPr>
            <w:r>
              <w:rPr>
                <w:sz w:val="26"/>
                <w:szCs w:val="26"/>
              </w:rPr>
              <w:t>(Ký tên và đóng dấu)</w:t>
            </w:r>
          </w:p>
        </w:tc>
      </w:tr>
    </w:tbl>
    <w:p w14:paraId="63F2E5CB" w14:textId="77777777" w:rsidR="0015509C" w:rsidRDefault="00173D66">
      <w:pPr>
        <w:tabs>
          <w:tab w:val="left" w:pos="3216"/>
        </w:tabs>
        <w:rPr>
          <w:sz w:val="26"/>
          <w:szCs w:val="26"/>
        </w:rPr>
      </w:pPr>
      <w:r>
        <w:rPr>
          <w:sz w:val="26"/>
          <w:szCs w:val="26"/>
        </w:rPr>
        <w:tab/>
      </w:r>
    </w:p>
    <w:sectPr w:rsidR="0015509C" w:rsidSect="0036006A">
      <w:headerReference w:type="default" r:id="rId14"/>
      <w:footerReference w:type="default" r:id="rId15"/>
      <w:footerReference w:type="first" r:id="rId16"/>
      <w:pgSz w:w="16839" w:h="11907" w:orient="landscape" w:code="9"/>
      <w:pgMar w:top="1134" w:right="1134" w:bottom="284" w:left="1701" w:header="510" w:footer="50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2E5CE" w14:textId="77777777" w:rsidR="00E77053" w:rsidRDefault="00E77053">
      <w:r>
        <w:separator/>
      </w:r>
    </w:p>
  </w:endnote>
  <w:endnote w:type="continuationSeparator" w:id="0">
    <w:p w14:paraId="63F2E5CF" w14:textId="77777777" w:rsidR="00E77053" w:rsidRDefault="00E7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E5D2" w14:textId="77777777" w:rsidR="0015509C" w:rsidRDefault="0015509C">
    <w:pPr>
      <w:pStyle w:val="Footer"/>
    </w:pPr>
  </w:p>
  <w:p w14:paraId="63F2E5D3" w14:textId="77777777" w:rsidR="0015509C" w:rsidRDefault="0015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ook w:val="0600" w:firstRow="0" w:lastRow="0" w:firstColumn="0" w:lastColumn="0" w:noHBand="1" w:noVBand="1"/>
    </w:tblPr>
    <w:tblGrid>
      <w:gridCol w:w="2801"/>
      <w:gridCol w:w="2801"/>
      <w:gridCol w:w="2801"/>
      <w:gridCol w:w="2801"/>
      <w:gridCol w:w="2801"/>
    </w:tblGrid>
    <w:tr w:rsidR="0015509C" w14:paraId="63F2E5DA" w14:textId="77777777">
      <w:tc>
        <w:tcPr>
          <w:tcW w:w="2801" w:type="dxa"/>
        </w:tcPr>
        <w:p w14:paraId="63F2E5D4" w14:textId="77777777" w:rsidR="0015509C" w:rsidRDefault="00822689">
          <w:pPr>
            <w:jc w:val="center"/>
          </w:pPr>
          <w:sdt>
            <w:sdtPr>
              <w:id w:val="-2107574149"/>
              <w:lock w:val="sdtContentLocked"/>
              <w:picture/>
            </w:sdtPr>
            <w:sdtEndPr/>
            <w:sdtContent>
              <w:r w:rsidR="00173D66">
                <w:rPr>
                  <w:noProof/>
                </w:rPr>
                <w:drawing>
                  <wp:inline distT="0" distB="0" distL="0" distR="0" wp14:anchorId="63F2E5DB" wp14:editId="63F2E5DC">
                    <wp:extent cx="466790" cy="46679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tretch>
                              <a:fillRect/>
                            </a:stretch>
                          </pic:blipFill>
                          <pic:spPr>
                            <a:xfrm>
                              <a:off x="0" y="0"/>
                              <a:ext cx="466790" cy="466790"/>
                            </a:xfrm>
                            <a:prstGeom prst="rect">
                              <a:avLst/>
                            </a:prstGeom>
                          </pic:spPr>
                        </pic:pic>
                      </a:graphicData>
                    </a:graphic>
                  </wp:inline>
                </w:drawing>
              </w:r>
            </w:sdtContent>
          </w:sdt>
        </w:p>
        <w:p w14:paraId="63F2E5D5" w14:textId="77777777" w:rsidR="0015509C" w:rsidRDefault="00173D66">
          <w:pPr>
            <w:jc w:val="center"/>
          </w:pPr>
          <w:r>
            <w:rPr>
              <w:sz w:val="16"/>
              <w:szCs w:val="16"/>
            </w:rPr>
            <w:t>BM: CVĐT.03(1)</w:t>
          </w:r>
        </w:p>
      </w:tc>
      <w:tc>
        <w:tcPr>
          <w:tcW w:w="2801" w:type="dxa"/>
        </w:tcPr>
        <w:p w14:paraId="63F2E5D6" w14:textId="77777777" w:rsidR="0015509C" w:rsidRDefault="0015509C"/>
      </w:tc>
      <w:tc>
        <w:tcPr>
          <w:tcW w:w="2801" w:type="dxa"/>
        </w:tcPr>
        <w:p w14:paraId="63F2E5D7" w14:textId="77777777" w:rsidR="0015509C" w:rsidRDefault="0015509C"/>
      </w:tc>
      <w:tc>
        <w:tcPr>
          <w:tcW w:w="2801" w:type="dxa"/>
        </w:tcPr>
        <w:p w14:paraId="63F2E5D8" w14:textId="77777777" w:rsidR="0015509C" w:rsidRDefault="0015509C"/>
      </w:tc>
      <w:tc>
        <w:tcPr>
          <w:tcW w:w="2801" w:type="dxa"/>
        </w:tcPr>
        <w:p w14:paraId="63F2E5D9" w14:textId="77777777" w:rsidR="0015509C" w:rsidRDefault="0015509C"/>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2E5CC" w14:textId="77777777" w:rsidR="00E77053" w:rsidRDefault="00E77053">
      <w:r>
        <w:separator/>
      </w:r>
    </w:p>
  </w:footnote>
  <w:footnote w:type="continuationSeparator" w:id="0">
    <w:p w14:paraId="63F2E5CD" w14:textId="77777777" w:rsidR="00E77053" w:rsidRDefault="00E77053">
      <w:r>
        <w:continuationSeparator/>
      </w:r>
    </w:p>
  </w:footnote>
  <w:footnote w:id="1">
    <w:p w14:paraId="63F2E5DD" w14:textId="77777777" w:rsidR="0015509C" w:rsidRDefault="00173D66">
      <w:pPr>
        <w:pStyle w:val="FootnoteText"/>
        <w:spacing w:before="0" w:beforeAutospacing="0" w:after="0" w:afterAutospacing="0"/>
        <w:contextualSpacing/>
      </w:pPr>
      <w:r>
        <w:rPr>
          <w:rStyle w:val="FootnoteReference"/>
          <w:sz w:val="22"/>
          <w:szCs w:val="22"/>
          <w:vertAlign w:val="superscript"/>
        </w:rPr>
        <w:footnoteRef/>
      </w:r>
      <w:r>
        <w:rPr>
          <w:sz w:val="22"/>
          <w:szCs w:val="22"/>
        </w:rPr>
        <w:t>: khuyến cáo tối thiểu 06 tháng kể từ ngày chào giá.</w:t>
      </w:r>
    </w:p>
    <w:p w14:paraId="63F2E5DE" w14:textId="77777777" w:rsidR="0015509C" w:rsidRDefault="0015509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E5D0" w14:textId="77777777" w:rsidR="0015509C" w:rsidRDefault="0015509C">
    <w:pPr>
      <w:pStyle w:val="Header"/>
      <w:jc w:val="center"/>
    </w:pPr>
  </w:p>
  <w:p w14:paraId="63F2E5D1" w14:textId="77777777" w:rsidR="0015509C" w:rsidRDefault="00155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726A6"/>
    <w:multiLevelType w:val="hybridMultilevel"/>
    <w:tmpl w:val="DAE061BE"/>
    <w:lvl w:ilvl="0" w:tplc="38BAC472">
      <w:start w:val="1"/>
      <w:numFmt w:val="bullet"/>
      <w:lvlText w:val=""/>
      <w:lvlJc w:val="left"/>
      <w:pPr>
        <w:ind w:left="360" w:hanging="360"/>
      </w:pPr>
      <w:rPr>
        <w:rFonts w:ascii="Wingdings" w:hAnsi="Wingdings" w:hint="default"/>
      </w:rPr>
    </w:lvl>
    <w:lvl w:ilvl="1" w:tplc="BB1A456C">
      <w:start w:val="1"/>
      <w:numFmt w:val="bullet"/>
      <w:lvlText w:val="o"/>
      <w:lvlJc w:val="left"/>
      <w:pPr>
        <w:ind w:left="1080" w:hanging="360"/>
      </w:pPr>
      <w:rPr>
        <w:rFonts w:ascii="Courier New" w:hAnsi="Courier New" w:cs="Courier New" w:hint="default"/>
      </w:rPr>
    </w:lvl>
    <w:lvl w:ilvl="2" w:tplc="92E2575A">
      <w:start w:val="1"/>
      <w:numFmt w:val="bullet"/>
      <w:lvlText w:val=""/>
      <w:lvlJc w:val="left"/>
      <w:pPr>
        <w:ind w:left="1800" w:hanging="360"/>
      </w:pPr>
      <w:rPr>
        <w:rFonts w:ascii="Wingdings" w:hAnsi="Wingdings" w:hint="default"/>
      </w:rPr>
    </w:lvl>
    <w:lvl w:ilvl="3" w:tplc="77403A2E">
      <w:start w:val="1"/>
      <w:numFmt w:val="bullet"/>
      <w:lvlText w:val=""/>
      <w:lvlJc w:val="left"/>
      <w:pPr>
        <w:ind w:left="2520" w:hanging="360"/>
      </w:pPr>
      <w:rPr>
        <w:rFonts w:ascii="Symbol" w:hAnsi="Symbol" w:hint="default"/>
      </w:rPr>
    </w:lvl>
    <w:lvl w:ilvl="4" w:tplc="820689E4">
      <w:start w:val="1"/>
      <w:numFmt w:val="bullet"/>
      <w:lvlText w:val="o"/>
      <w:lvlJc w:val="left"/>
      <w:pPr>
        <w:ind w:left="3240" w:hanging="360"/>
      </w:pPr>
      <w:rPr>
        <w:rFonts w:ascii="Courier New" w:hAnsi="Courier New" w:cs="Courier New" w:hint="default"/>
      </w:rPr>
    </w:lvl>
    <w:lvl w:ilvl="5" w:tplc="9A9A9732">
      <w:start w:val="1"/>
      <w:numFmt w:val="bullet"/>
      <w:lvlText w:val=""/>
      <w:lvlJc w:val="left"/>
      <w:pPr>
        <w:ind w:left="3960" w:hanging="360"/>
      </w:pPr>
      <w:rPr>
        <w:rFonts w:ascii="Wingdings" w:hAnsi="Wingdings" w:hint="default"/>
      </w:rPr>
    </w:lvl>
    <w:lvl w:ilvl="6" w:tplc="CC82141E">
      <w:start w:val="1"/>
      <w:numFmt w:val="bullet"/>
      <w:lvlText w:val=""/>
      <w:lvlJc w:val="left"/>
      <w:pPr>
        <w:ind w:left="4680" w:hanging="360"/>
      </w:pPr>
      <w:rPr>
        <w:rFonts w:ascii="Symbol" w:hAnsi="Symbol" w:hint="default"/>
      </w:rPr>
    </w:lvl>
    <w:lvl w:ilvl="7" w:tplc="415A6BEC">
      <w:start w:val="1"/>
      <w:numFmt w:val="bullet"/>
      <w:lvlText w:val="o"/>
      <w:lvlJc w:val="left"/>
      <w:pPr>
        <w:ind w:left="5400" w:hanging="360"/>
      </w:pPr>
      <w:rPr>
        <w:rFonts w:ascii="Courier New" w:hAnsi="Courier New" w:cs="Courier New" w:hint="default"/>
      </w:rPr>
    </w:lvl>
    <w:lvl w:ilvl="8" w:tplc="D59A05CC">
      <w:start w:val="1"/>
      <w:numFmt w:val="bullet"/>
      <w:lvlText w:val=""/>
      <w:lvlJc w:val="left"/>
      <w:pPr>
        <w:ind w:left="6120" w:hanging="360"/>
      </w:pPr>
      <w:rPr>
        <w:rFonts w:ascii="Wingdings" w:hAnsi="Wingdings" w:hint="default"/>
      </w:rPr>
    </w:lvl>
  </w:abstractNum>
  <w:abstractNum w:abstractNumId="1" w15:restartNumberingAfterBreak="0">
    <w:nsid w:val="23B93614"/>
    <w:multiLevelType w:val="hybridMultilevel"/>
    <w:tmpl w:val="D94A70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47769"/>
    <w:multiLevelType w:val="hybridMultilevel"/>
    <w:tmpl w:val="B2CA7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61DDE"/>
    <w:multiLevelType w:val="hybridMultilevel"/>
    <w:tmpl w:val="FF169546"/>
    <w:lvl w:ilvl="0" w:tplc="0409000F">
      <w:start w:val="1"/>
      <w:numFmt w:val="decimal"/>
      <w:lvlText w:val="%1."/>
      <w:lvlJc w:val="left"/>
      <w:pPr>
        <w:ind w:left="50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069AE"/>
    <w:multiLevelType w:val="hybridMultilevel"/>
    <w:tmpl w:val="C07AAD1E"/>
    <w:lvl w:ilvl="0" w:tplc="78468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654970">
    <w:abstractNumId w:val="0"/>
  </w:num>
  <w:num w:numId="2" w16cid:durableId="2033873967">
    <w:abstractNumId w:val="3"/>
  </w:num>
  <w:num w:numId="3" w16cid:durableId="894662386">
    <w:abstractNumId w:val="4"/>
  </w:num>
  <w:num w:numId="4" w16cid:durableId="1015961931">
    <w:abstractNumId w:val="1"/>
  </w:num>
  <w:num w:numId="5" w16cid:durableId="1908571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09C"/>
    <w:rsid w:val="00007C45"/>
    <w:rsid w:val="00025FF6"/>
    <w:rsid w:val="00045D12"/>
    <w:rsid w:val="000555B2"/>
    <w:rsid w:val="000C5DAB"/>
    <w:rsid w:val="00115754"/>
    <w:rsid w:val="0015509C"/>
    <w:rsid w:val="00173D66"/>
    <w:rsid w:val="00176155"/>
    <w:rsid w:val="001E0EBE"/>
    <w:rsid w:val="002342D6"/>
    <w:rsid w:val="0026545E"/>
    <w:rsid w:val="00291CFF"/>
    <w:rsid w:val="002E5E5C"/>
    <w:rsid w:val="00356CE6"/>
    <w:rsid w:val="0036006A"/>
    <w:rsid w:val="003622CE"/>
    <w:rsid w:val="00375471"/>
    <w:rsid w:val="00376562"/>
    <w:rsid w:val="00380E54"/>
    <w:rsid w:val="00384519"/>
    <w:rsid w:val="003A0E61"/>
    <w:rsid w:val="003A6285"/>
    <w:rsid w:val="00401FDE"/>
    <w:rsid w:val="004302B1"/>
    <w:rsid w:val="00477F2F"/>
    <w:rsid w:val="005005DE"/>
    <w:rsid w:val="00502908"/>
    <w:rsid w:val="00521421"/>
    <w:rsid w:val="00522FCD"/>
    <w:rsid w:val="00541951"/>
    <w:rsid w:val="00553F32"/>
    <w:rsid w:val="005550C0"/>
    <w:rsid w:val="005561CD"/>
    <w:rsid w:val="00570992"/>
    <w:rsid w:val="005C059C"/>
    <w:rsid w:val="005F4E9F"/>
    <w:rsid w:val="0060008F"/>
    <w:rsid w:val="006020C7"/>
    <w:rsid w:val="0060492B"/>
    <w:rsid w:val="0067388E"/>
    <w:rsid w:val="00702D1F"/>
    <w:rsid w:val="00716A31"/>
    <w:rsid w:val="00721FBC"/>
    <w:rsid w:val="00725159"/>
    <w:rsid w:val="007268A8"/>
    <w:rsid w:val="00742E86"/>
    <w:rsid w:val="00774C99"/>
    <w:rsid w:val="00793F08"/>
    <w:rsid w:val="007B4F3A"/>
    <w:rsid w:val="007F0C85"/>
    <w:rsid w:val="007F0FDB"/>
    <w:rsid w:val="00812412"/>
    <w:rsid w:val="00822689"/>
    <w:rsid w:val="008406E8"/>
    <w:rsid w:val="00862E82"/>
    <w:rsid w:val="00867173"/>
    <w:rsid w:val="008715ED"/>
    <w:rsid w:val="008A2D23"/>
    <w:rsid w:val="008E1FBA"/>
    <w:rsid w:val="0091182F"/>
    <w:rsid w:val="0095400F"/>
    <w:rsid w:val="00966A88"/>
    <w:rsid w:val="009948D0"/>
    <w:rsid w:val="009E14C9"/>
    <w:rsid w:val="00A05319"/>
    <w:rsid w:val="00A275E2"/>
    <w:rsid w:val="00A556EE"/>
    <w:rsid w:val="00A71B22"/>
    <w:rsid w:val="00A86C28"/>
    <w:rsid w:val="00AB33D4"/>
    <w:rsid w:val="00AD7582"/>
    <w:rsid w:val="00AF5859"/>
    <w:rsid w:val="00B4173F"/>
    <w:rsid w:val="00B4347C"/>
    <w:rsid w:val="00B56965"/>
    <w:rsid w:val="00B7321B"/>
    <w:rsid w:val="00B75F87"/>
    <w:rsid w:val="00B8268D"/>
    <w:rsid w:val="00BE5DA2"/>
    <w:rsid w:val="00C00443"/>
    <w:rsid w:val="00C06A10"/>
    <w:rsid w:val="00C30CD2"/>
    <w:rsid w:val="00C32FAC"/>
    <w:rsid w:val="00C72773"/>
    <w:rsid w:val="00C80536"/>
    <w:rsid w:val="00CB232B"/>
    <w:rsid w:val="00CB630A"/>
    <w:rsid w:val="00CB6440"/>
    <w:rsid w:val="00CD01E6"/>
    <w:rsid w:val="00CD6DD5"/>
    <w:rsid w:val="00CE0D5A"/>
    <w:rsid w:val="00CE1161"/>
    <w:rsid w:val="00D13594"/>
    <w:rsid w:val="00D22B5E"/>
    <w:rsid w:val="00D54ED1"/>
    <w:rsid w:val="00D65418"/>
    <w:rsid w:val="00D67CCD"/>
    <w:rsid w:val="00D67FAA"/>
    <w:rsid w:val="00D76493"/>
    <w:rsid w:val="00D966DF"/>
    <w:rsid w:val="00D970AA"/>
    <w:rsid w:val="00DB16F1"/>
    <w:rsid w:val="00DC293E"/>
    <w:rsid w:val="00E2649B"/>
    <w:rsid w:val="00E66334"/>
    <w:rsid w:val="00E77053"/>
    <w:rsid w:val="00E87BF2"/>
    <w:rsid w:val="00EA2F59"/>
    <w:rsid w:val="00EA5F48"/>
    <w:rsid w:val="00ED1BF4"/>
    <w:rsid w:val="00EF5214"/>
    <w:rsid w:val="00F51943"/>
    <w:rsid w:val="00F77944"/>
    <w:rsid w:val="00FF58E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2E59B"/>
  <w15:docId w15:val="{7F1B8C6E-2EE1-4DE1-9E82-1F7D55CC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H" w:hAnsi=".VnTimeH"/>
      <w:b/>
      <w:bCs/>
      <w:sz w:val="26"/>
      <w:szCs w:val="26"/>
    </w:rPr>
  </w:style>
  <w:style w:type="paragraph" w:styleId="Heading2">
    <w:name w:val="heading 2"/>
    <w:basedOn w:val="Normal"/>
    <w:next w:val="Normal"/>
    <w:link w:val="Heading2Char"/>
    <w:qFormat/>
    <w:pPr>
      <w:keepNext/>
      <w:spacing w:before="240" w:after="60"/>
      <w:outlineLvl w:val="1"/>
    </w:pPr>
    <w:rPr>
      <w:rFonts w:ascii="Cambria" w:hAnsi="Cambria"/>
      <w:b/>
      <w:bCs/>
      <w:i/>
      <w:sz w:val="28"/>
      <w:szCs w:val="28"/>
    </w:rPr>
  </w:style>
  <w:style w:type="paragraph" w:styleId="Heading3">
    <w:name w:val="heading 3"/>
    <w:basedOn w:val="Normal"/>
    <w:next w:val="Normal"/>
    <w:link w:val="Heading3Char"/>
    <w:qFormat/>
    <w:pPr>
      <w:keepNext/>
      <w:spacing w:after="120" w:line="300" w:lineRule="exact"/>
      <w:ind w:firstLine="720"/>
      <w:jc w:val="center"/>
      <w:outlineLvl w:val="2"/>
    </w:pPr>
    <w:rPr>
      <w:rFonts w:ascii=".VnTimeH" w:hAnsi=".VnTimeH"/>
      <w:b/>
      <w:bCs/>
      <w:color w:val="000000"/>
      <w:sz w:val="26"/>
      <w:szCs w:val="26"/>
      <w:lang w:val="nl-NL"/>
    </w:rPr>
  </w:style>
  <w:style w:type="paragraph" w:styleId="Heading6">
    <w:name w:val="heading 6"/>
    <w:basedOn w:val="Normal"/>
    <w:next w:val="Normal"/>
    <w:link w:val="Heading6Char"/>
    <w:qFormat/>
    <w:pPr>
      <w:keepNext/>
      <w:jc w:val="center"/>
      <w:outlineLvl w:val="5"/>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hAnsi=".VnTimeH"/>
      <w:b/>
      <w:bCs/>
      <w:sz w:val="26"/>
      <w:szCs w:val="26"/>
    </w:rPr>
  </w:style>
  <w:style w:type="character" w:customStyle="1" w:styleId="Heading2Char">
    <w:name w:val="Heading 2 Char"/>
    <w:basedOn w:val="DefaultParagraphFont"/>
    <w:link w:val="Heading2"/>
    <w:rPr>
      <w:rFonts w:ascii="Cambria" w:hAnsi="Cambria"/>
      <w:b/>
      <w:bCs/>
      <w:i/>
      <w:sz w:val="28"/>
      <w:szCs w:val="28"/>
    </w:rPr>
  </w:style>
  <w:style w:type="character" w:customStyle="1" w:styleId="Heading3Char">
    <w:name w:val="Heading 3 Char"/>
    <w:basedOn w:val="DefaultParagraphFont"/>
    <w:link w:val="Heading3"/>
    <w:rPr>
      <w:rFonts w:ascii=".VnTimeH" w:hAnsi=".VnTimeH"/>
      <w:b/>
      <w:bCs/>
      <w:color w:val="000000"/>
      <w:sz w:val="26"/>
      <w:szCs w:val="26"/>
      <w:lang w:val="nl-NL"/>
    </w:rPr>
  </w:style>
  <w:style w:type="character" w:customStyle="1"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1" w:after="100" w:afterAutospacing="1"/>
    </w:pPr>
  </w:style>
  <w:style w:type="character" w:customStyle="1" w:styleId="FootnoteTextChar">
    <w:name w:val="Footnote Text Char"/>
    <w:basedOn w:val="DefaultParagraphFont"/>
  </w:style>
  <w:style w:type="paragraph" w:styleId="Footer">
    <w:name w:val="footer"/>
    <w:basedOn w:val="Normal"/>
    <w:uiPriority w:val="99"/>
    <w:qFormat/>
    <w:pPr>
      <w:tabs>
        <w:tab w:val="center" w:pos="4320"/>
        <w:tab w:val="right" w:pos="8640"/>
      </w:tabs>
    </w:pPr>
  </w:style>
  <w:style w:type="character" w:customStyle="1" w:styleId="FooterChar">
    <w:name w:val="Footer Char"/>
    <w:basedOn w:val="DefaultParagraphFont"/>
    <w:uiPriority w:val="99"/>
    <w:rPr>
      <w:sz w:val="24"/>
      <w:szCs w:val="24"/>
    </w:rPr>
  </w:style>
  <w:style w:type="character" w:styleId="FootnoteReference">
    <w:name w:val="footnote reference"/>
    <w:basedOn w:val="DefaultParagraphFont"/>
  </w:style>
  <w:style w:type="paragraph" w:customStyle="1" w:styleId="Char2CharCharCharCharCharCharCharChar">
    <w:name w:val="Char2 Char Char Char Char Char Char Char Char"/>
    <w:basedOn w:val="Normal"/>
    <w:pPr>
      <w:spacing w:after="160" w:line="240" w:lineRule="exact"/>
    </w:pPr>
    <w:rPr>
      <w:rFonts w:ascii="Verdana" w:eastAsia="SimSun" w:hAnsi="Verdana"/>
      <w:sz w:val="20"/>
      <w:szCs w:val="20"/>
    </w:rPr>
  </w:style>
  <w:style w:type="paragraph" w:customStyle="1" w:styleId="Head31">
    <w:name w:val="Head 3.1"/>
    <w:basedOn w:val="Normal"/>
    <w:pPr>
      <w:suppressAutoHyphens/>
      <w:jc w:val="center"/>
    </w:pPr>
    <w:rPr>
      <w:b/>
      <w:bCs/>
      <w:sz w:val="28"/>
      <w:szCs w:val="28"/>
    </w:rPr>
  </w:style>
  <w:style w:type="paragraph" w:styleId="Header">
    <w:name w:val="header"/>
    <w:basedOn w:val="Normal"/>
    <w:uiPriority w:val="99"/>
    <w:qFormat/>
    <w:pPr>
      <w:tabs>
        <w:tab w:val="center" w:pos="4680"/>
        <w:tab w:val="right" w:pos="9360"/>
      </w:tabs>
    </w:pPr>
  </w:style>
  <w:style w:type="character" w:customStyle="1"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Citation List,본문(내용),List Paragraph (numbered (a)),Colorful List - Accent 11,Gạch đầu dòng,List Paragraph 1,ko,ADB paragraph numbering,Numbered List Paragraph,numbered para,List Paragraph11,tieu de phu 1"/>
    <w:basedOn w:val="Normal"/>
    <w:uiPriority w:val="34"/>
    <w:qFormat/>
    <w:pPr>
      <w:ind w:left="720"/>
      <w:contextualSpacing/>
    </w:pPr>
  </w:style>
  <w:style w:type="character" w:customStyle="1" w:styleId="ListParagraphChar">
    <w:name w:val="List Paragraph Char"/>
    <w:aliases w:val="List Paragraph1 Char,bullet Char,Citation List Char,본문(내용) Char,List Paragraph (numbered (a)) Char,Colorful List - Accent 11 Char,Gạch đầu dòng Char,List Paragraph 1 Char,ko Char,ADB paragraph numbering Char,numbered para Char"/>
    <w:uiPriority w:val="34"/>
    <w:qFormat/>
    <w:rPr>
      <w:sz w:val="24"/>
      <w:szCs w:val="24"/>
    </w:rPr>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pPr>
      <w:ind w:left="360"/>
    </w:pPr>
    <w:rPr>
      <w:rFonts w:ascii=".VnTime" w:hAnsi=".VnTime"/>
      <w:sz w:val="26"/>
      <w:szCs w:val="26"/>
    </w:rPr>
  </w:style>
  <w:style w:type="character" w:customStyle="1" w:styleId="BodyTextIndentChar">
    <w:name w:val="Body Text Indent Char"/>
    <w:basedOn w:val="DefaultParagraphFont"/>
    <w:rPr>
      <w:rFonts w:ascii=".VnTime" w:hAnsi=".VnTime"/>
      <w:sz w:val="26"/>
      <w:szCs w:val="26"/>
    </w:rPr>
  </w:style>
  <w:style w:type="paragraph" w:styleId="BalloonText">
    <w:name w:val="Balloon Text"/>
    <w:basedOn w:val="Normal"/>
    <w:uiPriority w:val="99"/>
    <w:rPr>
      <w:rFonts w:ascii="Tahoma" w:hAnsi="Tahoma"/>
      <w:sz w:val="16"/>
      <w:szCs w:val="16"/>
    </w:rPr>
  </w:style>
  <w:style w:type="character" w:customStyle="1" w:styleId="BalloonTextChar">
    <w:name w:val="Balloon Text Char"/>
    <w:basedOn w:val="DefaultParagraphFont"/>
    <w:uiPriority w:val="99"/>
    <w:rPr>
      <w:rFonts w:ascii="Tahoma" w:hAnsi="Tahoma"/>
      <w:sz w:val="16"/>
      <w:szCs w:val="16"/>
    </w:rPr>
  </w:style>
  <w:style w:type="character" w:styleId="PageNumber">
    <w:name w:val="page number"/>
    <w:basedOn w:val="DefaultParagraphFont"/>
  </w:style>
  <w:style w:type="paragraph" w:customStyle="1" w:styleId="Char">
    <w:name w:val="Char"/>
    <w:basedOn w:val="Normal"/>
    <w:pPr>
      <w:spacing w:after="160" w:line="240" w:lineRule="exact"/>
    </w:pPr>
    <w:rPr>
      <w:rFonts w:ascii="Tahoma" w:hAnsi="Tahoma" w:cs="Tahoma"/>
      <w:sz w:val="20"/>
      <w:szCs w:val="20"/>
    </w:rPr>
  </w:style>
  <w:style w:type="paragraph" w:styleId="BodyText2">
    <w:name w:val="Body Text 2"/>
    <w:basedOn w:val="Normal"/>
    <w:pPr>
      <w:spacing w:before="180" w:line="320" w:lineRule="exact"/>
      <w:jc w:val="both"/>
    </w:pPr>
    <w:rPr>
      <w:rFonts w:ascii=".VnTime" w:hAnsi=".VnTime"/>
      <w:sz w:val="26"/>
      <w:szCs w:val="26"/>
    </w:rPr>
  </w:style>
  <w:style w:type="character" w:customStyle="1" w:styleId="BodyText2Char">
    <w:name w:val="Body Text 2 Char"/>
    <w:basedOn w:val="DefaultParagraphFont"/>
    <w:rPr>
      <w:rFonts w:ascii=".VnTime" w:hAnsi=".VnTime"/>
      <w:sz w:val="26"/>
      <w:szCs w:val="26"/>
    </w:rPr>
  </w:style>
  <w:style w:type="paragraph" w:customStyle="1" w:styleId="CharChar1">
    <w:name w:val="Char Char1"/>
    <w:basedOn w:val="Normal"/>
    <w:pPr>
      <w:spacing w:after="160" w:line="240" w:lineRule="exact"/>
    </w:pPr>
    <w:rPr>
      <w:rFonts w:ascii="Tahoma" w:hAnsi="Tahoma"/>
      <w:sz w:val="20"/>
      <w:szCs w:val="20"/>
    </w:rPr>
  </w:style>
  <w:style w:type="paragraph" w:customStyle="1" w:styleId="font5">
    <w:name w:val="font5"/>
    <w:basedOn w:val="Normal"/>
    <w:pPr>
      <w:spacing w:before="100" w:beforeAutospacing="1" w:after="100" w:afterAutospacing="1"/>
    </w:pPr>
    <w:rPr>
      <w:b/>
      <w:bCs/>
      <w:color w:val="000000"/>
    </w:rPr>
  </w:style>
  <w:style w:type="paragraph" w:customStyle="1" w:styleId="font6">
    <w:name w:val="font6"/>
    <w:basedOn w:val="Normal"/>
    <w:pPr>
      <w:spacing w:before="100" w:beforeAutospacing="1" w:after="100" w:afterAutospacing="1"/>
    </w:pPr>
    <w:rPr>
      <w:color w:val="000000"/>
    </w:rPr>
  </w:style>
  <w:style w:type="paragraph" w:customStyle="1" w:styleId="font7">
    <w:name w:val="font7"/>
    <w:basedOn w:val="Normal"/>
    <w:pPr>
      <w:spacing w:before="100" w:beforeAutospacing="1" w:after="100" w:afterAutospacing="1"/>
    </w:pPr>
    <w:rPr>
      <w:b/>
      <w:bCs/>
      <w:color w:val="000000"/>
      <w:sz w:val="23"/>
      <w:szCs w:val="23"/>
    </w:rPr>
  </w:style>
  <w:style w:type="paragraph" w:customStyle="1" w:styleId="font8">
    <w:name w:val="font8"/>
    <w:basedOn w:val="Normal"/>
    <w:pPr>
      <w:spacing w:before="100" w:beforeAutospacing="1" w:after="100" w:afterAutospacing="1"/>
    </w:pPr>
    <w:rPr>
      <w:rFonts w:ascii=".VnTime" w:hAnsi=".VnTime"/>
      <w:b/>
      <w:bCs/>
      <w:color w:val="000000"/>
      <w:sz w:val="23"/>
      <w:szCs w:val="23"/>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00000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pPr>
    <w:rPr>
      <w:b/>
      <w:bCs/>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Normal"/>
    <w:pPr>
      <w:pBdr>
        <w:left w:val="single" w:sz="4" w:space="0" w:color="auto"/>
        <w:bottom w:val="single" w:sz="4" w:space="0" w:color="auto"/>
      </w:pBdr>
      <w:spacing w:before="100" w:beforeAutospacing="1" w:after="100" w:afterAutospacing="1"/>
    </w:pPr>
    <w:rPr>
      <w:b/>
      <w:bCs/>
      <w:color w:val="000000"/>
    </w:rPr>
  </w:style>
  <w:style w:type="paragraph" w:customStyle="1" w:styleId="xl84">
    <w:name w:val="xl84"/>
    <w:basedOn w:val="Normal"/>
    <w:pPr>
      <w:pBdr>
        <w:bottom w:val="single" w:sz="4" w:space="0" w:color="auto"/>
      </w:pBdr>
      <w:spacing w:before="100" w:beforeAutospacing="1" w:after="100" w:afterAutospacing="1"/>
    </w:pPr>
    <w:rPr>
      <w:b/>
      <w:bCs/>
      <w:color w:val="000000"/>
    </w:rPr>
  </w:style>
  <w:style w:type="paragraph" w:customStyle="1" w:styleId="xl85">
    <w:name w:val="xl85"/>
    <w:basedOn w:val="Normal"/>
    <w:pPr>
      <w:pBdr>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7">
    <w:name w:val="xl87"/>
    <w:basedOn w:val="Normal"/>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88">
    <w:name w:val="xl88"/>
    <w:basedOn w:val="Normal"/>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color w:val="000000"/>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6">
    <w:name w:val="xl96"/>
    <w:basedOn w:val="Normal"/>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97">
    <w:name w:val="xl97"/>
    <w:basedOn w:val="Normal"/>
    <w:pPr>
      <w:pBdr>
        <w:left w:val="single" w:sz="4" w:space="0" w:color="auto"/>
        <w:right w:val="single" w:sz="4" w:space="0" w:color="auto"/>
      </w:pBdr>
      <w:spacing w:before="100" w:beforeAutospacing="1" w:after="100" w:afterAutospacing="1"/>
      <w:jc w:val="both"/>
    </w:p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0">
    <w:name w:val="xl100"/>
    <w:basedOn w:val="Normal"/>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101">
    <w:name w:val="xl101"/>
    <w:basedOn w:val="Normal"/>
    <w:pPr>
      <w:pBdr>
        <w:top w:val="single" w:sz="4" w:space="0" w:color="auto"/>
        <w:bottom w:val="single" w:sz="4" w:space="0" w:color="auto"/>
      </w:pBdr>
      <w:spacing w:before="100" w:beforeAutospacing="1" w:after="100" w:afterAutospacing="1"/>
    </w:pPr>
    <w:rPr>
      <w:b/>
      <w:bCs/>
      <w:color w:val="000000"/>
    </w:rPr>
  </w:style>
  <w:style w:type="paragraph" w:customStyle="1" w:styleId="xl102">
    <w:name w:val="xl102"/>
    <w:basedOn w:val="Normal"/>
    <w:pPr>
      <w:pBdr>
        <w:top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pPr>
      <w:pBdr>
        <w:left w:val="single" w:sz="4" w:space="0" w:color="auto"/>
      </w:pBdr>
      <w:spacing w:before="100" w:beforeAutospacing="1" w:after="100" w:afterAutospacing="1"/>
      <w:jc w:val="both"/>
    </w:pPr>
    <w:rPr>
      <w:b/>
      <w:bCs/>
    </w:rPr>
  </w:style>
  <w:style w:type="paragraph" w:customStyle="1" w:styleId="xl108">
    <w:name w:val="xl108"/>
    <w:basedOn w:val="Normal"/>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09">
    <w:name w:val="xl109"/>
    <w:basedOn w:val="Normal"/>
    <w:pPr>
      <w:pBdr>
        <w:top w:val="single" w:sz="4" w:space="0" w:color="auto"/>
        <w:bottom w:val="single" w:sz="4" w:space="0" w:color="auto"/>
      </w:pBdr>
      <w:spacing w:before="100" w:beforeAutospacing="1" w:after="100" w:afterAutospacing="1"/>
      <w:jc w:val="right"/>
    </w:pPr>
    <w:rPr>
      <w:b/>
      <w:bCs/>
      <w:color w:val="000000"/>
    </w:rPr>
  </w:style>
  <w:style w:type="paragraph" w:customStyle="1" w:styleId="xl110">
    <w:name w:val="xl110"/>
    <w:basedOn w:val="Normal"/>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1">
    <w:name w:val="xl111"/>
    <w:basedOn w:val="Normal"/>
    <w:pPr>
      <w:spacing w:before="100" w:beforeAutospacing="1" w:after="100" w:afterAutospacing="1"/>
      <w:jc w:val="center"/>
    </w:pPr>
    <w:rPr>
      <w:sz w:val="26"/>
      <w:szCs w:val="26"/>
    </w:rPr>
  </w:style>
  <w:style w:type="paragraph" w:customStyle="1" w:styleId="xl112">
    <w:name w:val="xl112"/>
    <w:basedOn w:val="Normal"/>
    <w:pPr>
      <w:pBdr>
        <w:bottom w:val="single" w:sz="4" w:space="0" w:color="auto"/>
      </w:pBdr>
      <w:spacing w:before="100" w:beforeAutospacing="1" w:after="100" w:afterAutospacing="1"/>
      <w:jc w:val="center"/>
    </w:pPr>
  </w:style>
  <w:style w:type="paragraph" w:customStyle="1" w:styleId="xl113">
    <w:name w:val="xl113"/>
    <w:basedOn w:val="Normal"/>
    <w:pPr>
      <w:pBdr>
        <w:bottom w:val="single" w:sz="4" w:space="0" w:color="auto"/>
      </w:pBdr>
      <w:spacing w:before="100" w:beforeAutospacing="1" w:after="100" w:afterAutospacing="1"/>
      <w:jc w:val="right"/>
    </w:pPr>
    <w:rPr>
      <w:color w:val="000000"/>
    </w:rPr>
  </w:style>
  <w:style w:type="paragraph" w:customStyle="1" w:styleId="xl114">
    <w:name w:val="xl114"/>
    <w:basedOn w:val="Normal"/>
    <w:pPr>
      <w:pBdr>
        <w:bottom w:val="single" w:sz="4" w:space="0" w:color="auto"/>
        <w:right w:val="single" w:sz="4" w:space="0" w:color="auto"/>
      </w:pBdr>
      <w:spacing w:before="100" w:beforeAutospacing="1" w:after="100" w:afterAutospacing="1"/>
      <w:jc w:val="right"/>
    </w:p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6">
    <w:name w:val="xl116"/>
    <w:basedOn w:val="Normal"/>
    <w:pPr>
      <w:pBdr>
        <w:left w:val="single" w:sz="4" w:space="0" w:color="auto"/>
        <w:bottom w:val="single" w:sz="4" w:space="0" w:color="auto"/>
      </w:pBdr>
      <w:spacing w:before="100" w:beforeAutospacing="1" w:after="100" w:afterAutospacing="1"/>
      <w:jc w:val="both"/>
    </w:pPr>
    <w:rPr>
      <w:b/>
      <w:bCs/>
    </w:rPr>
  </w:style>
  <w:style w:type="paragraph" w:customStyle="1" w:styleId="xl117">
    <w:name w:val="xl117"/>
    <w:basedOn w:val="Normal"/>
    <w:pPr>
      <w:pBdr>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8">
    <w:name w:val="xl118"/>
    <w:basedOn w:val="Normal"/>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1">
    <w:name w:val="xl121"/>
    <w:basedOn w:val="Normal"/>
    <w:pPr>
      <w:pBdr>
        <w:right w:val="single" w:sz="4" w:space="0" w:color="auto"/>
      </w:pBdr>
      <w:spacing w:before="100" w:beforeAutospacing="1" w:after="100" w:afterAutospacing="1"/>
      <w:jc w:val="right"/>
    </w:pPr>
  </w:style>
  <w:style w:type="paragraph" w:customStyle="1" w:styleId="xl122">
    <w:name w:val="xl122"/>
    <w:basedOn w:val="Normal"/>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3">
    <w:name w:val="xl123"/>
    <w:basedOn w:val="Normal"/>
    <w:pPr>
      <w:pBdr>
        <w:left w:val="single" w:sz="4" w:space="0" w:color="auto"/>
      </w:pBdr>
      <w:spacing w:before="100" w:beforeAutospacing="1" w:after="100" w:afterAutospacing="1"/>
      <w:jc w:val="center"/>
    </w:pPr>
  </w:style>
  <w:style w:type="paragraph" w:customStyle="1" w:styleId="xl124">
    <w:name w:val="xl124"/>
    <w:basedOn w:val="Normal"/>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Normal"/>
    <w:pPr>
      <w:pBdr>
        <w:left w:val="single" w:sz="4" w:space="0" w:color="auto"/>
        <w:bottom w:val="single" w:sz="4" w:space="0" w:color="auto"/>
      </w:pBdr>
      <w:spacing w:before="100" w:beforeAutospacing="1" w:after="100" w:afterAutospacing="1"/>
      <w:jc w:val="center"/>
    </w:pPr>
  </w:style>
  <w:style w:type="paragraph" w:customStyle="1" w:styleId="xl126">
    <w:name w:val="xl126"/>
    <w:basedOn w:val="Normal"/>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pPr>
      <w:pBdr>
        <w:top w:val="single" w:sz="4" w:space="0" w:color="auto"/>
        <w:bottom w:val="single" w:sz="4" w:space="0" w:color="auto"/>
      </w:pBdr>
      <w:spacing w:before="100" w:beforeAutospacing="1" w:after="100" w:afterAutospacing="1"/>
      <w:jc w:val="center"/>
    </w:pPr>
    <w:rPr>
      <w:b/>
      <w:bCs/>
    </w:rPr>
  </w:style>
  <w:style w:type="paragraph" w:customStyle="1" w:styleId="xl136">
    <w:name w:val="xl13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pPr>
      <w:pBdr>
        <w:bottom w:val="single" w:sz="4" w:space="0" w:color="auto"/>
      </w:pBdr>
      <w:spacing w:before="100" w:beforeAutospacing="1" w:after="100" w:afterAutospacing="1"/>
      <w:jc w:val="center"/>
    </w:pPr>
  </w:style>
  <w:style w:type="paragraph" w:customStyle="1" w:styleId="xl138">
    <w:name w:val="xl138"/>
    <w:basedOn w:val="Normal"/>
    <w:pPr>
      <w:pBdr>
        <w:bottom w:val="single" w:sz="4" w:space="0" w:color="auto"/>
      </w:pBdr>
      <w:spacing w:before="100" w:beforeAutospacing="1" w:after="100" w:afterAutospacing="1"/>
    </w:pPr>
    <w:rPr>
      <w:b/>
      <w:bCs/>
    </w:rPr>
  </w:style>
  <w:style w:type="paragraph" w:customStyle="1" w:styleId="xl139">
    <w:name w:val="xl139"/>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odyText">
    <w:name w:val="Body Text"/>
    <w:basedOn w:val="Normal"/>
    <w:semiHidden/>
    <w:unhideWhenUsed/>
    <w:pPr>
      <w:spacing w:after="120"/>
    </w:pPr>
  </w:style>
  <w:style w:type="character" w:customStyle="1" w:styleId="BodyTextChar">
    <w:name w:val="Body Text Char"/>
    <w:basedOn w:val="DefaultParagraphFont"/>
    <w:semiHidden/>
    <w:rPr>
      <w:sz w:val="24"/>
      <w:szCs w:val="24"/>
    </w:rPr>
  </w:style>
  <w:style w:type="paragraph" w:customStyle="1" w:styleId="msonormal0">
    <w:name w:val="msonormal"/>
    <w:basedOn w:val="Normal"/>
    <w:pPr>
      <w:spacing w:before="100" w:beforeAutospacing="1" w:after="100" w:afterAutospacing="1"/>
    </w:pPr>
  </w:style>
  <w:style w:type="paragraph" w:styleId="EndnoteText">
    <w:name w:val="endnote text"/>
    <w:basedOn w:val="Normal"/>
    <w:semiHidden/>
    <w:unhideWhenUsed/>
    <w:rPr>
      <w:sz w:val="20"/>
      <w:szCs w:val="20"/>
    </w:rPr>
  </w:style>
  <w:style w:type="character" w:customStyle="1" w:styleId="EndnoteTextChar">
    <w:name w:val="Endnote Text Char"/>
    <w:basedOn w:val="DefaultParagraphFon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6.xml><?xml version="1.0" encoding="utf-8"?>
<Sources xmlns:b="http://schemas.openxmlformats.org/officeDocument/2006/bibliography" xmlns="http://schemas.openxmlformats.org/officeDocument/2006/bibliography" SelectedStyle="\APA.XSL" StyleName="APA"/>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Props1.xml><?xml version="1.0" encoding="utf-8"?>
<ds:datastoreItem xmlns:ds="http://schemas.openxmlformats.org/officeDocument/2006/customXml" ds:itemID="{1BFDFADF-C8A5-4C63-A110-F250B935EFB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4020ED1-2843-41C3-9043-AB5A8FDB982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9F8E19E-9521-4AE3-ABA5-B3A3B1DBA2E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E884589-A9F7-45AE-9E06-9C3295835F4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F8616F4-574F-41E1-92CF-9A367C09A7A6}">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B446126D-A4F3-4E99-B71B-D2A79EBCB78D}">
  <ds:schemaRefs>
    <ds:schemaRef ds:uri="http://schemas.openxmlformats.org/officeDocument/2006/bibliography"/>
  </ds:schemaRefs>
</ds:datastoreItem>
</file>

<file path=customXml/itemProps7.xml><?xml version="1.0" encoding="utf-8"?>
<ds:datastoreItem xmlns:ds="http://schemas.openxmlformats.org/officeDocument/2006/customXml" ds:itemID="{0BDD5E7E-0C1C-48BD-B6F1-D17CA4F21D0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245</Words>
  <Characters>1403</Characters>
  <Application>Microsoft Office Word</Application>
  <DocSecurity>0</DocSecurity>
  <Lines>11</Lines>
  <Paragraphs>3</Paragraphs>
  <ScaleCrop>false</ScaleCrop>
  <Company>Grizli777</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Duc Minh (P. VTTB)</cp:lastModifiedBy>
  <cp:revision>89</cp:revision>
  <cp:lastPrinted>2024-06-20T03:28:00Z</cp:lastPrinted>
  <dcterms:created xsi:type="dcterms:W3CDTF">2022-10-08T04:38:00Z</dcterms:created>
  <dcterms:modified xsi:type="dcterms:W3CDTF">2025-06-05T01:46:00Z</dcterms:modified>
</cp:coreProperties>
</file>