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5A2CD8" w:rsidRDefault="00CF2BF2">
      <w:pPr>
        <w:tabs>
          <w:tab w:val="left" w:pos="3945"/>
        </w:tabs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5A2CD8" w:rsidRDefault="00CF2BF2">
      <w:pPr>
        <w:spacing w:before="120" w:after="120"/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5A2CD8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5A2CD8" w:rsidRDefault="00CF2BF2">
      <w:pPr>
        <w:spacing w:before="120" w:after="120"/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5A2CD8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5A2CD8">
        <w:rPr>
          <w:b/>
          <w:bCs/>
          <w:sz w:val="32"/>
          <w:szCs w:val="32"/>
        </w:rPr>
        <w:t>BẢNG BÁO GIÁ</w:t>
      </w:r>
    </w:p>
    <w:p w14:paraId="01484A5F" w14:textId="6DC35BDB" w:rsidR="008E3C67" w:rsidRPr="005A2CD8" w:rsidRDefault="00CF2BF2" w:rsidP="00A20FC1">
      <w:pPr>
        <w:spacing w:before="60" w:after="60"/>
        <w:ind w:left="284"/>
        <w:jc w:val="both"/>
        <w:rPr>
          <w:sz w:val="26"/>
          <w:szCs w:val="26"/>
        </w:rPr>
      </w:pPr>
      <w:r w:rsidRPr="005A2CD8">
        <w:rPr>
          <w:sz w:val="26"/>
          <w:szCs w:val="26"/>
        </w:rPr>
        <w:t xml:space="preserve">Kính gửi: Bệnh viện Đại học Y Dược </w:t>
      </w:r>
      <w:r w:rsidR="00A20FC1" w:rsidRPr="005C21AB">
        <w:rPr>
          <w:sz w:val="26"/>
          <w:szCs w:val="26"/>
        </w:rPr>
        <w:t>Thành phố Hồ Chí Minh</w:t>
      </w:r>
    </w:p>
    <w:p w14:paraId="4D59E29F" w14:textId="130DA5B2" w:rsidR="008E3C67" w:rsidRPr="005A2CD8" w:rsidRDefault="00CF2BF2" w:rsidP="00A20FC1">
      <w:pPr>
        <w:spacing w:before="60" w:after="60"/>
        <w:ind w:left="284"/>
        <w:jc w:val="both"/>
        <w:rPr>
          <w:sz w:val="26"/>
          <w:szCs w:val="26"/>
        </w:rPr>
      </w:pPr>
      <w:r w:rsidRPr="005A2CD8">
        <w:rPr>
          <w:sz w:val="26"/>
          <w:szCs w:val="26"/>
        </w:rPr>
        <w:t xml:space="preserve">Địa chỉ: 215 Hồng Bàng, Phường 11, Quận 5, </w:t>
      </w:r>
      <w:r w:rsidR="00A20FC1" w:rsidRPr="005C21AB">
        <w:rPr>
          <w:sz w:val="26"/>
          <w:szCs w:val="26"/>
        </w:rPr>
        <w:t>Thành phố Hồ Chí Minh</w:t>
      </w:r>
    </w:p>
    <w:p w14:paraId="0C57CBE0" w14:textId="77777777" w:rsidR="008E3C67" w:rsidRDefault="00CF2BF2" w:rsidP="0029395B">
      <w:pPr>
        <w:spacing w:before="60" w:after="60"/>
        <w:ind w:left="284"/>
        <w:jc w:val="both"/>
        <w:rPr>
          <w:sz w:val="26"/>
          <w:szCs w:val="26"/>
        </w:rPr>
      </w:pPr>
      <w:r w:rsidRPr="005A2CD8">
        <w:rPr>
          <w:sz w:val="26"/>
          <w:szCs w:val="26"/>
        </w:rPr>
        <w:t>Theo công văn mời chào giá số …</w:t>
      </w:r>
      <w:proofErr w:type="gramStart"/>
      <w:r w:rsidRPr="005A2CD8">
        <w:rPr>
          <w:sz w:val="26"/>
          <w:szCs w:val="26"/>
        </w:rPr>
        <w:t>…..</w:t>
      </w:r>
      <w:proofErr w:type="gramEnd"/>
      <w:r w:rsidRPr="005A2CD8">
        <w:rPr>
          <w:sz w:val="26"/>
          <w:szCs w:val="26"/>
        </w:rPr>
        <w:t>/BVĐHYD-</w:t>
      </w:r>
      <w:r w:rsidR="003A2FED" w:rsidRPr="005A2CD8">
        <w:rPr>
          <w:sz w:val="26"/>
          <w:szCs w:val="26"/>
        </w:rPr>
        <w:t>QTTN</w:t>
      </w:r>
      <w:r w:rsidRPr="005A2CD8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563"/>
        <w:gridCol w:w="4153"/>
        <w:gridCol w:w="556"/>
        <w:gridCol w:w="689"/>
        <w:gridCol w:w="563"/>
        <w:gridCol w:w="568"/>
        <w:gridCol w:w="654"/>
        <w:gridCol w:w="496"/>
        <w:gridCol w:w="443"/>
      </w:tblGrid>
      <w:tr w:rsidR="007D474C" w:rsidRPr="007D474C" w14:paraId="33BC7B44" w14:textId="77777777" w:rsidTr="00297C05">
        <w:trPr>
          <w:tblHeader/>
        </w:trPr>
        <w:tc>
          <w:tcPr>
            <w:tcW w:w="208" w:type="pct"/>
            <w:vAlign w:val="center"/>
          </w:tcPr>
          <w:p w14:paraId="1EA3BA04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TT</w:t>
            </w:r>
          </w:p>
        </w:tc>
        <w:tc>
          <w:tcPr>
            <w:tcW w:w="311" w:type="pct"/>
            <w:vAlign w:val="center"/>
          </w:tcPr>
          <w:p w14:paraId="0A23E544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Tên hàng hóa</w:t>
            </w:r>
          </w:p>
        </w:tc>
        <w:tc>
          <w:tcPr>
            <w:tcW w:w="2293" w:type="pct"/>
            <w:vAlign w:val="center"/>
          </w:tcPr>
          <w:p w14:paraId="1E1F0735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Yêu cầu kỹ thuật</w:t>
            </w:r>
          </w:p>
        </w:tc>
        <w:tc>
          <w:tcPr>
            <w:tcW w:w="306" w:type="pct"/>
            <w:vAlign w:val="center"/>
          </w:tcPr>
          <w:p w14:paraId="27643F81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Nhà sản xuất</w:t>
            </w:r>
          </w:p>
        </w:tc>
        <w:tc>
          <w:tcPr>
            <w:tcW w:w="379" w:type="pct"/>
            <w:vAlign w:val="center"/>
          </w:tcPr>
          <w:p w14:paraId="4BE4FF62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Nước sản xuất</w:t>
            </w:r>
          </w:p>
        </w:tc>
        <w:tc>
          <w:tcPr>
            <w:tcW w:w="311" w:type="pct"/>
            <w:vAlign w:val="center"/>
          </w:tcPr>
          <w:p w14:paraId="2B2627AF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Quy cách đóng gói</w:t>
            </w:r>
          </w:p>
        </w:tc>
        <w:tc>
          <w:tcPr>
            <w:tcW w:w="313" w:type="pct"/>
            <w:vAlign w:val="center"/>
          </w:tcPr>
          <w:p w14:paraId="71CD34E5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ĐVT</w:t>
            </w:r>
          </w:p>
        </w:tc>
        <w:tc>
          <w:tcPr>
            <w:tcW w:w="361" w:type="pct"/>
            <w:vAlign w:val="center"/>
          </w:tcPr>
          <w:p w14:paraId="68732A9A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Số lượng</w:t>
            </w:r>
          </w:p>
        </w:tc>
        <w:tc>
          <w:tcPr>
            <w:tcW w:w="274" w:type="pct"/>
            <w:vAlign w:val="center"/>
          </w:tcPr>
          <w:p w14:paraId="25364810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Đơn giá</w:t>
            </w:r>
          </w:p>
        </w:tc>
        <w:tc>
          <w:tcPr>
            <w:tcW w:w="244" w:type="pct"/>
            <w:vAlign w:val="center"/>
          </w:tcPr>
          <w:p w14:paraId="2E7759CB" w14:textId="77777777" w:rsidR="007D474C" w:rsidRPr="007D474C" w:rsidRDefault="007D474C" w:rsidP="00F45149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7D474C">
              <w:rPr>
                <w:b/>
                <w:bCs/>
              </w:rPr>
              <w:t>Ghi chú</w:t>
            </w:r>
          </w:p>
        </w:tc>
      </w:tr>
      <w:tr w:rsidR="00297C05" w:rsidRPr="007D474C" w14:paraId="13E19B97" w14:textId="77777777" w:rsidTr="00165B86">
        <w:tc>
          <w:tcPr>
            <w:tcW w:w="207" w:type="pct"/>
            <w:vAlign w:val="center"/>
          </w:tcPr>
          <w:p w14:paraId="60D1B438" w14:textId="77777777" w:rsidR="00297C05" w:rsidRPr="007D474C" w:rsidRDefault="00297C05" w:rsidP="00297C05">
            <w:pPr>
              <w:spacing w:before="120" w:after="120"/>
              <w:jc w:val="center"/>
              <w:rPr>
                <w:b/>
                <w:bCs/>
              </w:rPr>
            </w:pPr>
            <w:r w:rsidRPr="007D474C">
              <w:t>1</w:t>
            </w:r>
          </w:p>
        </w:tc>
        <w:tc>
          <w:tcPr>
            <w:tcW w:w="308" w:type="pct"/>
            <w:vAlign w:val="center"/>
          </w:tcPr>
          <w:p w14:paraId="67FBC459" w14:textId="1135EBD7" w:rsidR="00297C05" w:rsidRPr="007D474C" w:rsidRDefault="00297C05" w:rsidP="00297C05">
            <w:pPr>
              <w:spacing w:before="120" w:after="120"/>
              <w:jc w:val="center"/>
              <w:rPr>
                <w:b/>
                <w:bCs/>
              </w:rPr>
            </w:pPr>
            <w:r w:rsidRPr="007D474C">
              <w:t>Cánh cửa inox</w:t>
            </w:r>
            <w:r>
              <w:t xml:space="preserve"> kính</w:t>
            </w:r>
          </w:p>
        </w:tc>
        <w:tc>
          <w:tcPr>
            <w:tcW w:w="2296" w:type="pct"/>
            <w:vAlign w:val="center"/>
          </w:tcPr>
          <w:p w14:paraId="2EF8B3E9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>- Yêu cầu kỹ thuật của cánh cửa:</w:t>
            </w:r>
          </w:p>
          <w:p w14:paraId="161AAF77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 xml:space="preserve"> + Vật liệu khung: inox 304 dày ≥ 1,5mm;</w:t>
            </w:r>
          </w:p>
          <w:p w14:paraId="18CA1617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 xml:space="preserve"> + Bên trong khung cánh cửa lót giấy tổ ong có tỷ trọng ≈ 54kg/m</w:t>
            </w:r>
            <w:r w:rsidRPr="00297C05">
              <w:rPr>
                <w:vertAlign w:val="superscript"/>
              </w:rPr>
              <w:t>3</w:t>
            </w:r>
            <w:r w:rsidRPr="00297C05">
              <w:t>;</w:t>
            </w:r>
          </w:p>
          <w:p w14:paraId="1BBE2A21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 xml:space="preserve"> + Kính cường lực dày 10mm;</w:t>
            </w:r>
          </w:p>
          <w:p w14:paraId="6962E92F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 xml:space="preserve"> + Liên kết giữa các khung xương bằng liên kết hàn;</w:t>
            </w:r>
          </w:p>
          <w:p w14:paraId="1298AEEE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 xml:space="preserve"> + Tất cả các vị trí lắp đặt phụ kiện phải được gia cố bằng tấm thép dày tối thiểu 5mm;</w:t>
            </w:r>
          </w:p>
          <w:p w14:paraId="067BA7CC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 xml:space="preserve"> + Cấu tạo chi tiết theo bản vẽ đính kèm.</w:t>
            </w:r>
          </w:p>
          <w:p w14:paraId="50E0ED96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>- Yêu cầu kỹ thuật của thiết bị đóng cửa tự động lắp trên cánh cửa, gồm:</w:t>
            </w:r>
          </w:p>
          <w:p w14:paraId="60078156" w14:textId="77777777" w:rsidR="00297C05" w:rsidRPr="00297C05" w:rsidRDefault="00297C05" w:rsidP="00297C05">
            <w:pPr>
              <w:spacing w:before="40" w:after="40"/>
              <w:jc w:val="both"/>
            </w:pPr>
            <w:r w:rsidRPr="00297C05">
              <w:t xml:space="preserve"> + Vật liệu: hợp kim nhôm;</w:t>
            </w:r>
          </w:p>
          <w:p w14:paraId="1AF9A506" w14:textId="77777777" w:rsidR="00297C05" w:rsidRPr="00297C05" w:rsidRDefault="00297C05" w:rsidP="00297C05">
            <w:pPr>
              <w:spacing w:before="40" w:after="40"/>
              <w:ind w:right="-57"/>
              <w:jc w:val="both"/>
            </w:pPr>
            <w:r w:rsidRPr="00297C05">
              <w:t xml:space="preserve"> + Lắp đặt phù hợp cho chiều rộng cánh cửa khoảng 1200 mm;</w:t>
            </w:r>
          </w:p>
          <w:p w14:paraId="763C966B" w14:textId="77777777" w:rsidR="00297C05" w:rsidRPr="00297C05" w:rsidRDefault="00297C05" w:rsidP="00297C05">
            <w:pPr>
              <w:spacing w:before="40" w:after="40"/>
              <w:ind w:right="-57"/>
              <w:jc w:val="both"/>
            </w:pPr>
            <w:r w:rsidRPr="00297C05">
              <w:t xml:space="preserve"> + Lắp đặt phù hợp cho trọng lượng cánh ≥ 50 kg;</w:t>
            </w:r>
          </w:p>
          <w:p w14:paraId="0D636C67" w14:textId="77777777" w:rsidR="00297C05" w:rsidRPr="00297C05" w:rsidRDefault="00297C05" w:rsidP="00297C05">
            <w:pPr>
              <w:spacing w:before="40" w:after="40"/>
              <w:ind w:right="-57"/>
              <w:jc w:val="both"/>
            </w:pPr>
            <w:r w:rsidRPr="00297C05">
              <w:t xml:space="preserve"> + Góc mở tối đa ≤ 180º;</w:t>
            </w:r>
          </w:p>
          <w:p w14:paraId="3A4263B1" w14:textId="77777777" w:rsidR="00297C05" w:rsidRPr="00297C05" w:rsidRDefault="00297C05" w:rsidP="00297C05">
            <w:pPr>
              <w:spacing w:before="40" w:after="40"/>
              <w:ind w:right="-57"/>
              <w:jc w:val="both"/>
            </w:pPr>
            <w:r w:rsidRPr="00297C05">
              <w:t xml:space="preserve"> + Có chức năng giữ cửa;</w:t>
            </w:r>
          </w:p>
          <w:p w14:paraId="3A8D5545" w14:textId="1FF74097" w:rsidR="00297C05" w:rsidRPr="00824085" w:rsidRDefault="00297C05" w:rsidP="00297C05">
            <w:pPr>
              <w:spacing w:before="60" w:after="60"/>
              <w:jc w:val="both"/>
            </w:pPr>
            <w:r w:rsidRPr="00297C05">
              <w:t xml:space="preserve"> + Có thể điều chỉnh tốc độ đóng.</w:t>
            </w:r>
          </w:p>
        </w:tc>
        <w:tc>
          <w:tcPr>
            <w:tcW w:w="309" w:type="pct"/>
          </w:tcPr>
          <w:p w14:paraId="5B0D0132" w14:textId="77777777" w:rsidR="00297C05" w:rsidRPr="003A3C2A" w:rsidRDefault="00297C05" w:rsidP="00297C0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82" w:type="pct"/>
          </w:tcPr>
          <w:p w14:paraId="1CF3BFCC" w14:textId="77777777" w:rsidR="00297C05" w:rsidRPr="007D474C" w:rsidRDefault="00297C05" w:rsidP="00297C0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08" w:type="pct"/>
          </w:tcPr>
          <w:p w14:paraId="4E11A669" w14:textId="77777777" w:rsidR="00297C05" w:rsidRPr="007D474C" w:rsidRDefault="00297C05" w:rsidP="00297C0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1629F7EB" w14:textId="08DEFAAA" w:rsidR="00297C05" w:rsidRPr="007D474C" w:rsidRDefault="00297C05" w:rsidP="00297C05">
            <w:pPr>
              <w:spacing w:before="120" w:after="120"/>
              <w:jc w:val="center"/>
              <w:rPr>
                <w:b/>
                <w:bCs/>
              </w:rPr>
            </w:pPr>
            <w:r w:rsidRPr="007D474C">
              <w:rPr>
                <w:bCs/>
              </w:rPr>
              <w:t>m</w:t>
            </w:r>
            <w:r w:rsidRPr="007D474C">
              <w:rPr>
                <w:bCs/>
                <w:vertAlign w:val="superscript"/>
              </w:rPr>
              <w:t>2</w:t>
            </w:r>
          </w:p>
        </w:tc>
        <w:tc>
          <w:tcPr>
            <w:tcW w:w="358" w:type="pct"/>
            <w:vAlign w:val="center"/>
          </w:tcPr>
          <w:p w14:paraId="6318A9D1" w14:textId="52AE290A" w:rsidR="00297C05" w:rsidRPr="007D474C" w:rsidRDefault="00297C05" w:rsidP="007F710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  <w:r w:rsidR="007F7104">
              <w:rPr>
                <w:bCs/>
              </w:rPr>
              <w:t>91</w:t>
            </w:r>
          </w:p>
        </w:tc>
        <w:tc>
          <w:tcPr>
            <w:tcW w:w="272" w:type="pct"/>
            <w:vAlign w:val="center"/>
          </w:tcPr>
          <w:p w14:paraId="4437A0A6" w14:textId="77777777" w:rsidR="00297C05" w:rsidRPr="007D474C" w:rsidRDefault="00297C05" w:rsidP="00297C05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Align w:val="center"/>
          </w:tcPr>
          <w:p w14:paraId="251AE576" w14:textId="77777777" w:rsidR="00297C05" w:rsidRPr="007D474C" w:rsidRDefault="00297C05" w:rsidP="00297C05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5B248AD6" w14:textId="5F91DE14" w:rsidR="007D474C" w:rsidRPr="007D474C" w:rsidRDefault="00197781" w:rsidP="007D474C">
      <w:pPr>
        <w:pStyle w:val="ListParagraph"/>
        <w:numPr>
          <w:ilvl w:val="0"/>
          <w:numId w:val="2"/>
        </w:numPr>
        <w:spacing w:before="120"/>
        <w:ind w:left="357" w:hanging="357"/>
        <w:rPr>
          <w:b/>
          <w:bCs/>
        </w:rPr>
      </w:pPr>
      <w:r w:rsidRPr="007D474C">
        <w:rPr>
          <w:b/>
          <w:bCs/>
        </w:rPr>
        <w:t>Yêu cầu báo giá:</w:t>
      </w:r>
    </w:p>
    <w:p w14:paraId="4D2C99A5" w14:textId="77777777" w:rsidR="007D474C" w:rsidRPr="007D474C" w:rsidRDefault="007D474C" w:rsidP="00A20FC1">
      <w:pPr>
        <w:spacing w:before="60" w:after="60"/>
        <w:ind w:firstLine="360"/>
        <w:jc w:val="both"/>
      </w:pPr>
      <w:r w:rsidRPr="007D474C">
        <w:t>- Báo giá này có hiệu lực …..</w:t>
      </w:r>
      <w:r w:rsidRPr="007D474C">
        <w:rPr>
          <w:vertAlign w:val="superscript"/>
        </w:rPr>
        <w:t>(</w:t>
      </w:r>
      <w:r w:rsidRPr="007D474C">
        <w:rPr>
          <w:rStyle w:val="FootnoteReference"/>
          <w:vertAlign w:val="superscript"/>
        </w:rPr>
        <w:footnoteReference w:id="1"/>
      </w:r>
      <w:r w:rsidRPr="007D474C">
        <w:rPr>
          <w:vertAlign w:val="superscript"/>
        </w:rPr>
        <w:t>)</w:t>
      </w:r>
      <w:r w:rsidRPr="007D474C">
        <w:t xml:space="preserve"> ngày kể từ ngày báo giá;</w:t>
      </w:r>
    </w:p>
    <w:p w14:paraId="430F1D3E" w14:textId="77777777" w:rsidR="007D474C" w:rsidRPr="007D474C" w:rsidRDefault="007D474C" w:rsidP="00A20FC1">
      <w:pPr>
        <w:spacing w:before="60" w:after="60"/>
        <w:ind w:firstLine="360"/>
        <w:jc w:val="both"/>
      </w:pPr>
      <w:r w:rsidRPr="007D474C">
        <w:t>- Chúng tôi cam kết về đơn giá chào hàng bằng hoặc thấp hơn giá trên thị trường của cùng nhà cung ứng hoặc cùng chủng loại;</w:t>
      </w:r>
    </w:p>
    <w:p w14:paraId="79FF4F0A" w14:textId="522520B5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>Hàng hóa cung cấp mới 100%;</w:t>
      </w:r>
    </w:p>
    <w:p w14:paraId="52883276" w14:textId="310BBAE2" w:rsidR="007E67C0" w:rsidRPr="007E67C0" w:rsidRDefault="007E67C0" w:rsidP="007E67C0">
      <w:pPr>
        <w:spacing w:before="60" w:after="60"/>
        <w:ind w:firstLine="360"/>
        <w:jc w:val="both"/>
      </w:pPr>
      <w:r>
        <w:lastRenderedPageBreak/>
        <w:t xml:space="preserve">- </w:t>
      </w:r>
      <w:r w:rsidRPr="007E67C0">
        <w:t>Hàng hóa giao phải còn “nguyên đai, nguyên kiện”, bao bì không bị rách hoặc xé bỏ hoặc bị thấm nước khi giao hàng;</w:t>
      </w:r>
    </w:p>
    <w:p w14:paraId="4E04AE36" w14:textId="563FE93F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>Hàng hóa phải có nguồn gốc xuất xứ rõ ràng;</w:t>
      </w:r>
    </w:p>
    <w:p w14:paraId="249C2330" w14:textId="7F9E822B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>Nhà thầu chịu trách nhiệm thực hiện các dịch vụ liên quan (bao gồm vật tư phụ để nhà thầu hoàn thành các dịch vụ):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19"/>
        <w:gridCol w:w="1383"/>
        <w:gridCol w:w="968"/>
        <w:gridCol w:w="2213"/>
        <w:gridCol w:w="2041"/>
      </w:tblGrid>
      <w:tr w:rsidR="007E67C0" w:rsidRPr="007E67C0" w14:paraId="4BF1E442" w14:textId="77777777" w:rsidTr="007E67C0">
        <w:trPr>
          <w:trHeight w:val="630"/>
        </w:trPr>
        <w:tc>
          <w:tcPr>
            <w:tcW w:w="297" w:type="pct"/>
            <w:shd w:val="clear" w:color="auto" w:fill="auto"/>
            <w:vAlign w:val="center"/>
            <w:hideMark/>
          </w:tcPr>
          <w:p w14:paraId="14FEAC8D" w14:textId="77777777" w:rsidR="007E67C0" w:rsidRPr="007E67C0" w:rsidRDefault="007E67C0" w:rsidP="00BE659F">
            <w:pPr>
              <w:spacing w:before="60" w:after="60"/>
              <w:jc w:val="center"/>
              <w:rPr>
                <w:b/>
                <w:bCs/>
              </w:rPr>
            </w:pPr>
            <w:r w:rsidRPr="007E67C0">
              <w:rPr>
                <w:b/>
                <w:bCs/>
              </w:rPr>
              <w:t>Stt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14:paraId="092E54F9" w14:textId="77777777" w:rsidR="007E67C0" w:rsidRPr="007E67C0" w:rsidRDefault="007E67C0" w:rsidP="00BE659F">
            <w:pPr>
              <w:spacing w:before="60" w:after="60"/>
              <w:jc w:val="center"/>
              <w:rPr>
                <w:b/>
                <w:bCs/>
              </w:rPr>
            </w:pPr>
            <w:r w:rsidRPr="007E67C0">
              <w:rPr>
                <w:b/>
                <w:bCs/>
              </w:rPr>
              <w:t>Mô tả dịch vụ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7E8D54" w14:textId="77777777" w:rsidR="007E67C0" w:rsidRPr="007E67C0" w:rsidRDefault="007E67C0" w:rsidP="00BE659F">
            <w:pPr>
              <w:spacing w:before="60" w:after="60"/>
              <w:jc w:val="center"/>
              <w:rPr>
                <w:b/>
                <w:bCs/>
              </w:rPr>
            </w:pPr>
            <w:r w:rsidRPr="007E67C0">
              <w:rPr>
                <w:b/>
                <w:bCs/>
              </w:rPr>
              <w:t>Khối lượng mời thầu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7F00A42E" w14:textId="77777777" w:rsidR="007E67C0" w:rsidRPr="007E67C0" w:rsidRDefault="007E67C0" w:rsidP="00BE659F">
            <w:pPr>
              <w:spacing w:before="60" w:after="60"/>
              <w:jc w:val="center"/>
              <w:rPr>
                <w:b/>
                <w:bCs/>
              </w:rPr>
            </w:pPr>
            <w:r w:rsidRPr="007E67C0">
              <w:rPr>
                <w:b/>
                <w:bCs/>
              </w:rPr>
              <w:t>Đơn vị tính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56A782A7" w14:textId="77777777" w:rsidR="007E67C0" w:rsidRPr="007E67C0" w:rsidRDefault="007E67C0" w:rsidP="00BE659F">
            <w:pPr>
              <w:spacing w:before="60" w:after="60"/>
              <w:jc w:val="center"/>
              <w:rPr>
                <w:b/>
                <w:bCs/>
              </w:rPr>
            </w:pPr>
            <w:r w:rsidRPr="007E67C0">
              <w:rPr>
                <w:b/>
                <w:bCs/>
              </w:rPr>
              <w:t>Địa điểm thực hiện dịch vụ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734C29F0" w14:textId="77777777" w:rsidR="007E67C0" w:rsidRPr="007E67C0" w:rsidRDefault="007E67C0" w:rsidP="00BE659F">
            <w:pPr>
              <w:spacing w:before="60" w:after="60"/>
              <w:ind w:left="-57" w:right="-57"/>
              <w:jc w:val="center"/>
              <w:rPr>
                <w:b/>
                <w:bCs/>
                <w:vertAlign w:val="superscript"/>
              </w:rPr>
            </w:pPr>
            <w:r w:rsidRPr="007E67C0">
              <w:rPr>
                <w:b/>
                <w:bCs/>
              </w:rPr>
              <w:t>Ngày hoàn thành dịch vụ</w:t>
            </w:r>
          </w:p>
        </w:tc>
      </w:tr>
      <w:tr w:rsidR="00341B47" w:rsidRPr="007E67C0" w14:paraId="37380A89" w14:textId="77777777" w:rsidTr="007E67C0">
        <w:trPr>
          <w:trHeight w:val="630"/>
        </w:trPr>
        <w:tc>
          <w:tcPr>
            <w:tcW w:w="297" w:type="pct"/>
            <w:shd w:val="clear" w:color="auto" w:fill="auto"/>
            <w:vAlign w:val="center"/>
            <w:hideMark/>
          </w:tcPr>
          <w:p w14:paraId="19CE8C6C" w14:textId="77777777" w:rsidR="00341B47" w:rsidRPr="007E67C0" w:rsidRDefault="00341B47" w:rsidP="00341B47">
            <w:pPr>
              <w:spacing w:before="60" w:after="60"/>
              <w:jc w:val="center"/>
            </w:pPr>
            <w:r w:rsidRPr="007E67C0">
              <w:t>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14:paraId="23EDD9E9" w14:textId="7FD15911" w:rsidR="00341B47" w:rsidRPr="00341B47" w:rsidRDefault="00341B47" w:rsidP="00341B47">
            <w:pPr>
              <w:spacing w:before="60" w:after="60"/>
              <w:jc w:val="center"/>
              <w:rPr>
                <w:i/>
                <w:iCs/>
              </w:rPr>
            </w:pPr>
            <w:r w:rsidRPr="00341B47">
              <w:t>Tháo cánh cửa cũ và lắp đặt cánh cửa inox kính mới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CD8ED7" w14:textId="750DBBE4" w:rsidR="00341B47" w:rsidRPr="007E67C0" w:rsidRDefault="00EF437A" w:rsidP="00341B47">
            <w:pPr>
              <w:spacing w:before="60" w:after="60"/>
              <w:jc w:val="center"/>
            </w:pPr>
            <w:r>
              <w:rPr>
                <w:bCs/>
              </w:rPr>
              <w:t>491</w:t>
            </w:r>
            <w:bookmarkStart w:id="0" w:name="_GoBack"/>
            <w:bookmarkEnd w:id="0"/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46EDCE15" w14:textId="77777777" w:rsidR="00341B47" w:rsidRPr="007E67C0" w:rsidRDefault="00341B47" w:rsidP="00341B47">
            <w:pPr>
              <w:spacing w:before="60" w:after="60"/>
              <w:jc w:val="center"/>
            </w:pPr>
            <w:r w:rsidRPr="007E67C0">
              <w:rPr>
                <w:bCs/>
              </w:rPr>
              <w:t>m</w:t>
            </w:r>
            <w:r w:rsidRPr="007E67C0">
              <w:rPr>
                <w:bCs/>
                <w:vertAlign w:val="superscript"/>
              </w:rPr>
              <w:t>2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2C07DEC3" w14:textId="77777777" w:rsidR="00341B47" w:rsidRPr="007E67C0" w:rsidRDefault="00341B47" w:rsidP="00341B47">
            <w:pPr>
              <w:spacing w:before="60" w:after="60"/>
              <w:jc w:val="center"/>
            </w:pPr>
            <w:r w:rsidRPr="007E67C0">
              <w:t>215 Hồng Bàng, Phường 11, Quận 5, TPHCM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44F99E3B" w14:textId="4FE0C267" w:rsidR="00341B47" w:rsidRPr="007E67C0" w:rsidRDefault="00341B47" w:rsidP="00341B47">
            <w:pPr>
              <w:spacing w:before="60" w:after="60"/>
              <w:ind w:left="-57" w:right="-57"/>
              <w:jc w:val="center"/>
            </w:pPr>
            <w:r>
              <w:t>Trong vòng 6</w:t>
            </w:r>
            <w:r w:rsidRPr="007E67C0">
              <w:t>0 ngày kể từ ngày hàng hóa được giao</w:t>
            </w:r>
          </w:p>
        </w:tc>
      </w:tr>
    </w:tbl>
    <w:p w14:paraId="7BF90015" w14:textId="5F2DC996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 xml:space="preserve">Nhà thầu chịu trách nhiệm lắp đặt phụ kiện do Chủ đầu tư cung cấp (bản lề, thân khóa, ruột khóa, chốt âm), trừ thiết bị đóng cửa tự động </w:t>
      </w:r>
      <w:r w:rsidR="00297C05">
        <w:t xml:space="preserve">(tay co thủy lực) </w:t>
      </w:r>
      <w:r w:rsidRPr="007E67C0">
        <w:t>sẽ do Nhà thầu cung cấp và lắp đặt;</w:t>
      </w:r>
    </w:p>
    <w:p w14:paraId="1A852F6D" w14:textId="1DC7F900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>Nhà thầu thực hiện theo bản vẽ chi tiết vị trí đính kèm kết hợp khảo sát thực tế theo yêu cầu của Chủ đầu tư;</w:t>
      </w:r>
    </w:p>
    <w:p w14:paraId="02791D93" w14:textId="1D08E34A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>Nhà thầu thực hiện đầy đủ các trách nhiệm về đảm bảo chất lượng hàng hóa theo các quy định của pháp luật;</w:t>
      </w:r>
    </w:p>
    <w:p w14:paraId="7B7053FC" w14:textId="519AF434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 xml:space="preserve">Nhà thầu chịu trách nhiệm thu gom, vận chuyển các vật tư hư hỏng bị thay thế, cánh cửa cũ </w:t>
      </w:r>
      <w:r>
        <w:t xml:space="preserve">được </w:t>
      </w:r>
      <w:r w:rsidRPr="007E67C0">
        <w:t>tháo ra khỏi khuôn viên của Chủ đầu tư và mang đổ bỏ đúng nơi quy định;</w:t>
      </w:r>
    </w:p>
    <w:p w14:paraId="1F52E49C" w14:textId="1EB628A1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>Tuân thủ theo các quy định, quy trình của Chủ đầu tư;</w:t>
      </w:r>
    </w:p>
    <w:p w14:paraId="4A18FB07" w14:textId="62350496" w:rsidR="007E67C0" w:rsidRPr="007E67C0" w:rsidRDefault="007E67C0" w:rsidP="007E67C0">
      <w:pPr>
        <w:spacing w:before="60" w:after="60"/>
        <w:ind w:firstLine="360"/>
        <w:jc w:val="both"/>
      </w:pPr>
      <w:r>
        <w:t xml:space="preserve">- </w:t>
      </w:r>
      <w:r w:rsidRPr="007E67C0">
        <w:t>Chịu trách nhiệm bồi thường thiệt hại khi xảy ra sự cố trong quá trình thực hiện.</w:t>
      </w:r>
    </w:p>
    <w:p w14:paraId="3E41D9B4" w14:textId="77777777" w:rsidR="007D474C" w:rsidRPr="007D474C" w:rsidRDefault="007D474C" w:rsidP="007D474C">
      <w:pPr>
        <w:spacing w:before="60" w:after="60"/>
        <w:ind w:firstLine="3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A2CD8" w:rsidRPr="005A2CD8" w14:paraId="6A79159C" w14:textId="77777777" w:rsidTr="00EF415E">
        <w:tc>
          <w:tcPr>
            <w:tcW w:w="2500" w:type="pct"/>
          </w:tcPr>
          <w:p w14:paraId="03C420FA" w14:textId="77777777" w:rsidR="00EF415E" w:rsidRPr="005A2CD8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7777777" w:rsidR="00EF415E" w:rsidRPr="005A2CD8" w:rsidRDefault="00EF415E" w:rsidP="005A2CD8">
            <w:pPr>
              <w:jc w:val="center"/>
              <w:rPr>
                <w:sz w:val="26"/>
                <w:szCs w:val="26"/>
              </w:rPr>
            </w:pPr>
            <w:r w:rsidRPr="005A2CD8">
              <w:rPr>
                <w:sz w:val="26"/>
                <w:szCs w:val="26"/>
              </w:rPr>
              <w:t>Ngày … tháng …. năm 2024</w:t>
            </w:r>
          </w:p>
          <w:p w14:paraId="114CBEB6" w14:textId="77777777" w:rsidR="00EF415E" w:rsidRPr="005A2CD8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5A2CD8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5A2CD8" w:rsidRDefault="00EF415E" w:rsidP="005A2CD8">
            <w:pPr>
              <w:jc w:val="center"/>
              <w:rPr>
                <w:sz w:val="26"/>
                <w:szCs w:val="26"/>
              </w:rPr>
            </w:pPr>
            <w:r w:rsidRPr="005A2CD8">
              <w:rPr>
                <w:sz w:val="26"/>
                <w:szCs w:val="26"/>
              </w:rPr>
              <w:t>(Ký tên và đóng dấu)</w:t>
            </w:r>
          </w:p>
        </w:tc>
      </w:tr>
    </w:tbl>
    <w:p w14:paraId="423EE2DB" w14:textId="77777777" w:rsidR="00EF415E" w:rsidRPr="005A2CD8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5A2CD8" w:rsidSect="006202FE">
      <w:headerReference w:type="default" r:id="rId14"/>
      <w:footerReference w:type="default" r:id="rId15"/>
      <w:footerReference w:type="first" r:id="rId16"/>
      <w:pgSz w:w="11907" w:h="16839" w:code="9"/>
      <w:pgMar w:top="1134" w:right="1134" w:bottom="1134" w:left="1701" w:header="510" w:footer="46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F81E" w14:textId="77777777" w:rsidR="00E30056" w:rsidRDefault="00E30056">
      <w:r>
        <w:separator/>
      </w:r>
    </w:p>
  </w:endnote>
  <w:endnote w:type="continuationSeparator" w:id="0">
    <w:p w14:paraId="6730BB71" w14:textId="77777777" w:rsidR="00E30056" w:rsidRDefault="00E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080"/>
      <w:gridCol w:w="1748"/>
      <w:gridCol w:w="1748"/>
      <w:gridCol w:w="1748"/>
      <w:gridCol w:w="1748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E30056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260E0" w14:textId="77777777" w:rsidR="00E30056" w:rsidRDefault="00E30056">
      <w:r>
        <w:separator/>
      </w:r>
    </w:p>
  </w:footnote>
  <w:footnote w:type="continuationSeparator" w:id="0">
    <w:p w14:paraId="7D4E9E41" w14:textId="77777777" w:rsidR="00E30056" w:rsidRDefault="00E30056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135F5E"/>
    <w:rsid w:val="00165B86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B2E79"/>
    <w:rsid w:val="005A2CD8"/>
    <w:rsid w:val="006202FE"/>
    <w:rsid w:val="00621CF5"/>
    <w:rsid w:val="00650EC4"/>
    <w:rsid w:val="00680219"/>
    <w:rsid w:val="00691B1E"/>
    <w:rsid w:val="006E4D56"/>
    <w:rsid w:val="00781ECB"/>
    <w:rsid w:val="007B5DCD"/>
    <w:rsid w:val="007D0C72"/>
    <w:rsid w:val="007D474C"/>
    <w:rsid w:val="007E67C0"/>
    <w:rsid w:val="007F7104"/>
    <w:rsid w:val="00824085"/>
    <w:rsid w:val="008E3C67"/>
    <w:rsid w:val="00917EAA"/>
    <w:rsid w:val="00920243"/>
    <w:rsid w:val="00945AAA"/>
    <w:rsid w:val="00967C76"/>
    <w:rsid w:val="00995DEC"/>
    <w:rsid w:val="00A026FE"/>
    <w:rsid w:val="00A20FC1"/>
    <w:rsid w:val="00A90B45"/>
    <w:rsid w:val="00AC5F24"/>
    <w:rsid w:val="00B54114"/>
    <w:rsid w:val="00B879FF"/>
    <w:rsid w:val="00C30FEF"/>
    <w:rsid w:val="00C508AC"/>
    <w:rsid w:val="00CC2D44"/>
    <w:rsid w:val="00CF0C2E"/>
    <w:rsid w:val="00CF2BF2"/>
    <w:rsid w:val="00D05DC5"/>
    <w:rsid w:val="00D477C9"/>
    <w:rsid w:val="00D84F18"/>
    <w:rsid w:val="00DA20AA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D00F55E-CFB9-4951-8661-CE6EB845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Mai Linh</cp:lastModifiedBy>
  <cp:revision>11</cp:revision>
  <cp:lastPrinted>2024-09-05T07:27:00Z</cp:lastPrinted>
  <dcterms:created xsi:type="dcterms:W3CDTF">2024-08-21T09:20:00Z</dcterms:created>
  <dcterms:modified xsi:type="dcterms:W3CDTF">2024-09-05T07:29:00Z</dcterms:modified>
</cp:coreProperties>
</file>